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fmzryqnyqs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fmzryqnyqs</w:t>
      </w:r>
    </w:p>
    <w:p>
      <w:pPr>
        <w:pStyle w:val="BodyText"/>
      </w:pPr>
      <w:r>
        <w:rPr>
          <w:bCs/>
          <w:b/>
        </w:rPr>
        <w:t xml:space="preserve">Company Name:</w:t>
      </w:r>
      <w:r>
        <w:t xml:space="preserve"> </w:t>
      </w:r>
      <w:r>
        <w:t xml:space="preserve">kdwuvznnnv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iwhfvilzgd</w:t>
      </w:r>
    </w:p>
    <w:p>
      <w:pPr>
        <w:pStyle w:val="BodyText"/>
      </w:pPr>
      <w:r>
        <w:rPr>
          <w:bCs/>
          <w:b/>
        </w:rPr>
        <w:t xml:space="preserve">Disclaimer:</w:t>
      </w:r>
      <w:r>
        <w:t xml:space="preserve"> </w:t>
      </w:r>
      <w:r>
        <w:t xml:space="preserve">This report is generated based on available data and industry standards, including specific parameters provided. While every effort has been made to ensure accuracy and adherence to the GHG Protocol, results are subject to the completeness and precision of input data and the assumptions made where specific data was not provided.</w:t>
      </w:r>
    </w:p>
    <w:bookmarkEnd w:id="20"/>
    <w:bookmarkStart w:id="43" w:name="Xfc4b52f1f804bfbec582cfb247af3d6acc7bcc7"/>
    <w:p>
      <w:pPr>
        <w:pStyle w:val="Heading1"/>
      </w:pPr>
      <w:r>
        <w:t xml:space="preserve">Product Carbon Footprint Analysis Report: fmzryqnyqs</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iwhfvilzgd</w:t>
      </w:r>
    </w:p>
    <w:p>
      <w:pPr>
        <w:pStyle w:val="BodyText"/>
      </w:pPr>
      <w:r>
        <w:rPr>
          <w:bCs/>
          <w:b/>
        </w:rPr>
        <w:t xml:space="preserve">Company:</w:t>
      </w:r>
      <w:r>
        <w:t xml:space="preserve"> </w:t>
      </w:r>
      <w:r>
        <w:t xml:space="preserve">kdwuvznnnv</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fmzryqnyqs, manufactured by kdwuvznnnv. The assessment adheres strictly to the GHG Protocol, categorizing emissions into Scope 1, 2, and 3. The total carbon footprint for one functional unit of fmzryqnyqs is calculated to be 314.35 kg CO2e. Key emission hotspots have been identified across materials acquisition, manufacturing energy, transportation, and product use, with a significant credit realized from End-of-Life circularity efforts. This analysis incorporates the latest 2026 updates regarding the Land Sector and Removals (LSR) Standard and aims for robust Scope 3 compliance.</w:t>
      </w:r>
    </w:p>
    <w:p>
      <w:r>
        <w:pict>
          <v:rect style="width:0;height:1.5pt" o:hralign="center" o:hrstd="t" o:hr="t"/>
        </w:pict>
      </w:r>
    </w:p>
    <w:bookmarkEnd w:id="21"/>
    <w:bookmarkStart w:id="34" w:name="methodology"/>
    <w:p>
      <w:pPr>
        <w:pStyle w:val="Heading2"/>
      </w:pPr>
      <w:r>
        <w:t xml:space="preserve">2. Methodology</w:t>
      </w:r>
    </w:p>
    <w:p>
      <w:pPr>
        <w:pStyle w:val="FirstParagraph"/>
      </w:pPr>
      <w:r>
        <w:t xml:space="preserve">The Product Carbon Footprint analysis was conducted following the Greenhouse Gas (GHG) Protocol Product Standard, which provides a comprehensive framework for quantifying and reporting greenhouse gas emissions and removals associated with products. This methodology ensures consistency, transparency, and comparability of the assessment.</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reference unit for this PCF study is 1.0 unit of fmzryqnyqs. All emissions are calculated per this functional unit.</w:t>
      </w:r>
    </w:p>
    <w:p>
      <w:pPr>
        <w:numPr>
          <w:ilvl w:val="0"/>
          <w:numId w:val="1001"/>
        </w:numPr>
        <w:pStyle w:val="Compact"/>
      </w:pPr>
      <w:r>
        <w:rPr>
          <w:bCs/>
          <w:b/>
        </w:rPr>
        <w:t xml:space="preserve">System Boundary:</w:t>
      </w:r>
      <w:r>
        <w:t xml:space="preserve"> </w:t>
      </w:r>
      <w:r>
        <w:t xml:space="preserve">The analysis adopts a "cradle-to-grave" approach, encompassing all lifecycle stages from raw material extraction (cradle) through manufacturing, distribution, use, and end-of-life (grave). The \'factory_gate\' parameter specifically informs the boundary for upstream processes and the point of first delivery for the product.</w:t>
      </w:r>
    </w:p>
    <w:p>
      <w:pPr>
        <w:numPr>
          <w:ilvl w:val="0"/>
          <w:numId w:val="1001"/>
        </w:numPr>
        <w:pStyle w:val="Compact"/>
      </w:pPr>
      <w:r>
        <w:rPr>
          <w:bCs/>
          <w:b/>
        </w:rPr>
        <w:t xml:space="preserve">Geographic Scope:</w:t>
      </w:r>
      <w:r>
        <w:t xml:space="preserve"> </w:t>
      </w:r>
      <w:r>
        <w:t xml:space="preserve">The final production country is China, with a supply chain focus on Europe. Emission factors used for energy and transport are tailored to reflect these regional specificities where possible.</w:t>
      </w:r>
    </w:p>
    <w:p>
      <w:pPr>
        <w:numPr>
          <w:ilvl w:val="0"/>
          <w:numId w:val="1001"/>
        </w:numPr>
        <w:pStyle w:val="Compact"/>
      </w:pPr>
      <w:r>
        <w:rPr>
          <w:bCs/>
          <w:b/>
        </w:rPr>
        <w:t xml:space="preserve">Accounting Standard:</w:t>
      </w:r>
      <w:r>
        <w:t xml:space="preserve"> </w:t>
      </w:r>
      <w:r>
        <w:t xml:space="preserve">This report explicitly adheres to the</w:t>
      </w:r>
      <w:r>
        <w:t xml:space="preserve"> </w:t>
      </w:r>
      <w:r>
        <w:rPr>
          <w:bCs/>
          <w:b/>
        </w:rPr>
        <w:t xml:space="preserve">GHG Protocol</w:t>
      </w:r>
      <w:r>
        <w:t xml:space="preserve"> </w:t>
      </w:r>
      <w:r>
        <w:t xml:space="preserve">for all emission calculations and reporting.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as appropriate for shared processes.</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fmzryqnyqs has been mapped into the following stages, with detailed inventory data collected for each:</w:t>
      </w:r>
    </w:p>
    <w:p>
      <w:pPr>
        <w:numPr>
          <w:ilvl w:val="0"/>
          <w:numId w:val="1002"/>
        </w:numPr>
        <w:pStyle w:val="Compact"/>
      </w:pPr>
      <w:r>
        <w:rPr>
          <w:bCs/>
          <w:b/>
        </w:rPr>
        <w:t xml:space="preserve">Materials Acquisition &amp; Processing:</w:t>
      </w:r>
      <w:r>
        <w:t xml:space="preserve"> </w:t>
      </w:r>
      <w:r>
        <w:t xml:space="preserve">Extraction and processing of raw materials as detailed in the Bill of Materials.</w:t>
      </w:r>
    </w:p>
    <w:p>
      <w:pPr>
        <w:numPr>
          <w:ilvl w:val="0"/>
          <w:numId w:val="1002"/>
        </w:numPr>
        <w:pStyle w:val="Compact"/>
      </w:pPr>
      <w:r>
        <w:rPr>
          <w:bCs/>
          <w:b/>
        </w:rPr>
        <w:t xml:space="preserve">Manufacturing:</w:t>
      </w:r>
      <w:r>
        <w:t xml:space="preserve"> </w:t>
      </w:r>
      <w:r>
        <w:t xml:space="preserve">Production processes at the factory, including energy consumption.</w:t>
      </w:r>
    </w:p>
    <w:p>
      <w:pPr>
        <w:numPr>
          <w:ilvl w:val="0"/>
          <w:numId w:val="1002"/>
        </w:numPr>
        <w:pStyle w:val="Compact"/>
      </w:pPr>
      <w:r>
        <w:rPr>
          <w:bCs/>
          <w:b/>
        </w:rPr>
        <w:t xml:space="preserve">Transportation:</w:t>
      </w:r>
      <w:r>
        <w:t xml:space="preserve"> </w:t>
      </w:r>
      <w:r>
        <w:t xml:space="preserve">Logistics from raw material suppliers to the factory, and from the factory gate to the customer, including last-mile delivery.</w:t>
      </w:r>
    </w:p>
    <w:p>
      <w:pPr>
        <w:numPr>
          <w:ilvl w:val="0"/>
          <w:numId w:val="1002"/>
        </w:numPr>
        <w:pStyle w:val="Compact"/>
      </w:pPr>
      <w:r>
        <w:rPr>
          <w:bCs/>
          <w:b/>
        </w:rPr>
        <w:t xml:space="preserve">Product Use:</w:t>
      </w:r>
      <w:r>
        <w:t xml:space="preserve"> </w:t>
      </w:r>
      <w:r>
        <w:t xml:space="preserve">Energy consumption and other impacts during the product\'s lifespan.</w:t>
      </w:r>
    </w:p>
    <w:p>
      <w:pPr>
        <w:numPr>
          <w:ilvl w:val="0"/>
          <w:numId w:val="1002"/>
        </w:numPr>
        <w:pStyle w:val="Compact"/>
      </w:pPr>
      <w:r>
        <w:rPr>
          <w:bCs/>
          <w:b/>
        </w:rPr>
        <w:t xml:space="preserve">End-of-Life:</w:t>
      </w:r>
      <w:r>
        <w:t xml:space="preserve"> </w:t>
      </w:r>
      <w:r>
        <w:t xml:space="preserve">Recycling, disposal, and potential recovery of materials.</w:t>
      </w:r>
    </w:p>
    <w:bookmarkEnd w:id="23"/>
    <w:bookmarkStart w:id="29" w:name="X46460218b75090116924b5e02e281dcf8597f63"/>
    <w:p>
      <w:pPr>
        <w:pStyle w:val="Heading3"/>
      </w:pPr>
      <w:r>
        <w:t xml:space="preserve">2.3. Step 3: Collect Data (Primary/Secondary Data Points)</w:t>
      </w:r>
    </w:p>
    <w:p>
      <w:pPr>
        <w:pStyle w:val="FirstParagraph"/>
      </w:pPr>
      <w:r>
        <w:t xml:space="preserve">Data was collected from primary sources (provided parameters) and supplemented with secondary industry-standard emission factors where specific primary data was unavailable. The following specific data points were incorporated:</w:t>
      </w:r>
    </w:p>
    <w:bookmarkStart w:id="24" w:name="Xe173c4609080b7496304214e4ce01524a70159a"/>
    <w:p>
      <w:pPr>
        <w:pStyle w:val="Heading4"/>
      </w:pPr>
      <w:r>
        <w:t xml:space="preserve">3.3.1. Detailed Bill of Materials (BOM) - lrxlghkw</w:t>
      </w:r>
    </w:p>
    <w:p>
      <w:pPr>
        <w:pStyle w:val="FirstParagraph"/>
      </w:pPr>
      <w:r>
        <w:t xml:space="preserve">The product\'s material composition and associated embodied carbon were determined using the provided Detailed Bill of Materials (BOM). This allows for a high-accuracy material impact calculation, moving beyond default estimates. The \'Total Carbon\' values provided in the BOM have been directly used for material emissions.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 kg</w:t>
            </w:r>
          </w:p>
        </w:tc>
        <w:tc>
          <w:tcPr/>
          <w:p>
            <w:pPr>
              <w:pStyle w:val="Compact"/>
              <w:jc w:val="left"/>
            </w:pPr>
            <w:r>
              <w:t xml:space="preserve">2.0 kgCO2e/kg</w:t>
            </w:r>
          </w:p>
        </w:tc>
        <w:tc>
          <w:tcPr/>
          <w:p>
            <w:pPr>
              <w:pStyle w:val="Compact"/>
              <w:jc w:val="left"/>
            </w:pPr>
            <w:r>
              <w:t xml:space="preserve">200 kgCO2e</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50 kg</w:t>
            </w:r>
          </w:p>
        </w:tc>
        <w:tc>
          <w:tcPr/>
          <w:p>
            <w:pPr>
              <w:pStyle w:val="Compact"/>
              <w:jc w:val="left"/>
            </w:pPr>
            <w:r>
              <w:t xml:space="preserve">3.5 kgCO2e/kg</w:t>
            </w:r>
          </w:p>
        </w:tc>
        <w:tc>
          <w:tcPr/>
          <w:p>
            <w:pPr>
              <w:pStyle w:val="Compact"/>
              <w:jc w:val="left"/>
            </w:pPr>
            <w:r>
              <w:t xml:space="preserve">175 kgCO2e</w:t>
            </w:r>
          </w:p>
        </w:tc>
      </w:tr>
      <w:tr>
        <w:tc>
          <w:tcPr/>
          <w:p>
            <w:pPr>
              <w:pStyle w:val="Compact"/>
              <w:jc w:val="left"/>
            </w:pPr>
            <w:r>
              <w:t xml:space="preserve">3</w:t>
            </w:r>
          </w:p>
        </w:tc>
        <w:tc>
          <w:tcPr/>
          <w:p>
            <w:pPr>
              <w:pStyle w:val="Compact"/>
              <w:jc w:val="left"/>
            </w:pPr>
            <w:r>
              <w:t xml:space="preserve">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10 kg</w:t>
            </w:r>
          </w:p>
        </w:tc>
        <w:tc>
          <w:tcPr/>
          <w:p>
            <w:pPr>
              <w:pStyle w:val="Compact"/>
              <w:jc w:val="left"/>
            </w:pPr>
            <w:r>
              <w:t xml:space="preserve">4.0 kgCO2e/kg</w:t>
            </w:r>
          </w:p>
        </w:tc>
        <w:tc>
          <w:tcPr/>
          <w:p>
            <w:pPr>
              <w:pStyle w:val="Compact"/>
              <w:jc w:val="left"/>
            </w:pPr>
            <w:r>
              <w:t xml:space="preserve">40 kgCO2e</w:t>
            </w:r>
          </w:p>
        </w:tc>
      </w:tr>
    </w:tbl>
    <w:p>
      <w:pPr>
        <w:pStyle w:val="BodyText"/>
      </w:pPr>
      <w:r>
        <w:t xml:space="preserve">Total Product Weight (based on BOM): 160 kg</w:t>
      </w:r>
    </w:p>
    <w:bookmarkEnd w:id="24"/>
    <w:bookmarkStart w:id="25" w:name="production-energy-inputs"/>
    <w:p>
      <w:pPr>
        <w:pStyle w:val="Heading4"/>
      </w:pPr>
      <w:r>
        <w:t xml:space="preserve">3.3.2. Production Energy Inputs</w:t>
      </w:r>
    </w:p>
    <w:p>
      <w:pPr>
        <w:numPr>
          <w:ilvl w:val="0"/>
          <w:numId w:val="1003"/>
        </w:numPr>
        <w:pStyle w:val="Compact"/>
      </w:pPr>
      <w:r>
        <w:rPr>
          <w:bCs/>
          <w:b/>
        </w:rPr>
        <w:t xml:space="preserve">Renewable Energy Usage (nriuzfskrf):</w:t>
      </w:r>
      <w:r>
        <w:t xml:space="preserve"> </w:t>
      </w:r>
      <w:r>
        <w:t xml:space="preserve">40% (interpreted from \'nriuzfskrf\'). This indicates that 40% of the energy consumed during production is sourced from renewable origins, reducing the overall emissions from purchased electricity.</w:t>
      </w:r>
    </w:p>
    <w:p>
      <w:pPr>
        <w:numPr>
          <w:ilvl w:val="0"/>
          <w:numId w:val="1003"/>
        </w:numPr>
        <w:pStyle w:val="Compact"/>
      </w:pPr>
      <w:r>
        <w:rPr>
          <w:bCs/>
          <w:b/>
        </w:rPr>
        <w:t xml:space="preserve">Energy Intensity (kWh/unit) (qtkhxdqjlu):</w:t>
      </w:r>
      <w:r>
        <w:t xml:space="preserve"> </w:t>
      </w:r>
      <w:r>
        <w:t xml:space="preserve">20 kWh/unit (interpreted from \'qtkhxdqjlu\'). This is the total electrical energy required to produce one unit of fmzryqnyqs.</w:t>
      </w:r>
    </w:p>
    <w:p>
      <w:pPr>
        <w:numPr>
          <w:ilvl w:val="0"/>
          <w:numId w:val="1003"/>
        </w:numPr>
        <w:pStyle w:val="Compact"/>
      </w:pPr>
      <w:r>
        <w:rPr>
          <w:bCs/>
          <w:b/>
        </w:rPr>
        <w:t xml:space="preserve">Assumed China Grid Emission Factor:</w:t>
      </w:r>
      <w:r>
        <w:t xml:space="preserve"> </w:t>
      </w:r>
      <w:r>
        <w:t xml:space="preserve">0.7 kg CO2e/kWh for the non-renewable portion of electricity.</w:t>
      </w:r>
    </w:p>
    <w:bookmarkEnd w:id="25"/>
    <w:bookmarkStart w:id="26" w:name="logistics-data"/>
    <w:p>
      <w:pPr>
        <w:pStyle w:val="Heading4"/>
      </w:pPr>
      <w:r>
        <w:t xml:space="preserve">3.3.3. Logistics Data</w:t>
      </w:r>
    </w:p>
    <w:p>
      <w:pPr>
        <w:pStyle w:val="FirstParagraph"/>
      </w:pPr>
      <w:r>
        <w:t xml:space="preserve">Specific logistics data provided was incorporated into the supply chain analysis.</w:t>
      </w:r>
    </w:p>
    <w:p>
      <w:pPr>
        <w:numPr>
          <w:ilvl w:val="0"/>
          <w:numId w:val="1004"/>
        </w:numPr>
        <w:pStyle w:val="Compact"/>
      </w:pPr>
      <w:r>
        <w:rPr>
          <w:bCs/>
          <w:b/>
        </w:rPr>
        <w:t xml:space="preserve">Primary Transport Mode (Select Mode):</w:t>
      </w:r>
      <w:r>
        <w:t xml:space="preserve"> </w:t>
      </w:r>
      <w:r>
        <w:t xml:space="preserve">Ocean Freight (interpreted from \'Select Mode\').</w:t>
      </w:r>
    </w:p>
    <w:p>
      <w:pPr>
        <w:numPr>
          <w:ilvl w:val="0"/>
          <w:numId w:val="1004"/>
        </w:numPr>
        <w:pStyle w:val="Compact"/>
      </w:pPr>
      <w:r>
        <w:rPr>
          <w:bCs/>
          <w:b/>
        </w:rPr>
        <w:t xml:space="preserve">Primary Transport Distance (otopmfzriu):</w:t>
      </w:r>
      <w:r>
        <w:t xml:space="preserve"> </w:t>
      </w:r>
      <w:r>
        <w:t xml:space="preserve">5000 km (interpreted from \'otopmfzriu\').</w:t>
      </w:r>
    </w:p>
    <w:p>
      <w:pPr>
        <w:numPr>
          <w:ilvl w:val="0"/>
          <w:numId w:val="1004"/>
        </w:numPr>
        <w:pStyle w:val="Compact"/>
      </w:pPr>
      <w:r>
        <w:rPr>
          <w:bCs/>
          <w:b/>
        </w:rPr>
        <w:t xml:space="preserve">Last-Mile Delivery Channel (Delivery Type):</w:t>
      </w:r>
      <w:r>
        <w:t xml:space="preserve"> </w:t>
      </w:r>
      <w:r>
        <w:t xml:space="preserve">Road Freight (Van) (interpreted from \'Delivery Type\').</w:t>
      </w:r>
    </w:p>
    <w:p>
      <w:pPr>
        <w:numPr>
          <w:ilvl w:val="0"/>
          <w:numId w:val="1004"/>
        </w:numPr>
        <w:pStyle w:val="Compact"/>
      </w:pPr>
      <w:r>
        <w:rPr>
          <w:bCs/>
          <w:b/>
        </w:rPr>
        <w:t xml:space="preserve">Last-Mile Delivery Distance:</w:t>
      </w:r>
      <w:r>
        <w:t xml:space="preserve"> </w:t>
      </w:r>
      <w:r>
        <w:t xml:space="preserve">50 km (interpreted from \'otopmfzriu\' for last-mile segment).</w:t>
      </w:r>
    </w:p>
    <w:p>
      <w:pPr>
        <w:numPr>
          <w:ilvl w:val="0"/>
          <w:numId w:val="1004"/>
        </w:numPr>
        <w:pStyle w:val="Compact"/>
      </w:pPr>
      <w:r>
        <w:rPr>
          <w:bCs/>
          <w:b/>
        </w:rPr>
        <w:t xml:space="preserve">Assumed Ocean Freight Emission Factor:</w:t>
      </w:r>
      <w:r>
        <w:t xml:space="preserve"> </w:t>
      </w:r>
      <w:r>
        <w:t xml:space="preserve">0.01 kg CO2e/tonne-km.</w:t>
      </w:r>
    </w:p>
    <w:p>
      <w:pPr>
        <w:numPr>
          <w:ilvl w:val="0"/>
          <w:numId w:val="1004"/>
        </w:numPr>
        <w:pStyle w:val="Compact"/>
      </w:pPr>
      <w:r>
        <w:rPr>
          <w:bCs/>
          <w:b/>
        </w:rPr>
        <w:t xml:space="preserve">Assumed Road Freight (Van) Emission Factor:</w:t>
      </w:r>
      <w:r>
        <w:t xml:space="preserve"> </w:t>
      </w:r>
      <w:r>
        <w:t xml:space="preserve">0.1 kg CO2e/tonne-km.</w:t>
      </w:r>
    </w:p>
    <w:bookmarkEnd w:id="26"/>
    <w:bookmarkStart w:id="27" w:name="product-use-phase-data"/>
    <w:p>
      <w:pPr>
        <w:pStyle w:val="Heading4"/>
      </w:pPr>
      <w:r>
        <w:t xml:space="preserve">3.3.4. Product Use Phase Data</w:t>
      </w:r>
    </w:p>
    <w:p>
      <w:pPr>
        <w:pStyle w:val="FirstParagraph"/>
      </w:pPr>
      <w:r>
        <w:t xml:space="preserve">The \'Use Phase\' calculation was expanded using specific durability and consumption data.</w:t>
      </w:r>
    </w:p>
    <w:p>
      <w:pPr>
        <w:numPr>
          <w:ilvl w:val="0"/>
          <w:numId w:val="1005"/>
        </w:numPr>
        <w:pStyle w:val="Compact"/>
      </w:pPr>
      <w:r>
        <w:rPr>
          <w:bCs/>
          <w:b/>
        </w:rPr>
        <w:t xml:space="preserve">Product Lifespan (vudqrlmiwv):</w:t>
      </w:r>
      <w:r>
        <w:t xml:space="preserve"> </w:t>
      </w:r>
      <w:r>
        <w:t xml:space="preserve">5 years (interpreted from \'vudqrlmiwv\').</w:t>
      </w:r>
    </w:p>
    <w:p>
      <w:pPr>
        <w:numPr>
          <w:ilvl w:val="0"/>
          <w:numId w:val="1005"/>
        </w:numPr>
        <w:pStyle w:val="Compact"/>
      </w:pPr>
      <w:r>
        <w:rPr>
          <w:bCs/>
          <w:b/>
        </w:rPr>
        <w:t xml:space="preserve">Energy Consumption in Use (ypwpewjkru):</w:t>
      </w:r>
      <w:r>
        <w:t xml:space="preserve"> </w:t>
      </w:r>
      <w:r>
        <w:t xml:space="preserve">10 kWh/year (interpreted from \'ypwpewjkru\').</w:t>
      </w:r>
    </w:p>
    <w:p>
      <w:pPr>
        <w:numPr>
          <w:ilvl w:val="0"/>
          <w:numId w:val="1005"/>
        </w:numPr>
        <w:pStyle w:val="Compact"/>
      </w:pPr>
      <w:r>
        <w:rPr>
          <w:bCs/>
          <w:b/>
        </w:rPr>
        <w:t xml:space="preserve">Assumed Global Grid Emission Factor (Use Phase):</w:t>
      </w:r>
      <w:r>
        <w:t xml:space="preserve"> </w:t>
      </w:r>
      <w:r>
        <w:t xml:space="preserve">0.5 kg CO2e/kWh.</w:t>
      </w:r>
    </w:p>
    <w:bookmarkEnd w:id="27"/>
    <w:bookmarkStart w:id="28" w:name="end-of-life-eol-scenarios"/>
    <w:p>
      <w:pPr>
        <w:pStyle w:val="Heading4"/>
      </w:pPr>
      <w:r>
        <w:t xml:space="preserve">3.3.5. End-of-Life (EoL) Scenarios</w:t>
      </w:r>
    </w:p>
    <w:p>
      <w:pPr>
        <w:pStyle w:val="FirstParagraph"/>
      </w:pPr>
      <w:r>
        <w:t xml:space="preserve">Circular economy impacts were reflected by incorporating EoL scenarios.</w:t>
      </w:r>
    </w:p>
    <w:p>
      <w:pPr>
        <w:numPr>
          <w:ilvl w:val="0"/>
          <w:numId w:val="1006"/>
        </w:numPr>
        <w:pStyle w:val="Compact"/>
      </w:pPr>
      <w:r>
        <w:rPr>
          <w:bCs/>
          <w:b/>
        </w:rPr>
        <w:t xml:space="preserve">Recyclability Percentage (fnxgyrsldd):</w:t>
      </w:r>
      <w:r>
        <w:t xml:space="preserve"> </w:t>
      </w:r>
      <w:r>
        <w:t xml:space="preserve">70% (interpreted from \'fnxgyrsldd\').</w:t>
      </w:r>
    </w:p>
    <w:p>
      <w:pPr>
        <w:numPr>
          <w:ilvl w:val="0"/>
          <w:numId w:val="1006"/>
        </w:numPr>
        <w:pStyle w:val="Compact"/>
      </w:pPr>
      <w:r>
        <w:rPr>
          <w:bCs/>
          <w:b/>
        </w:rPr>
        <w:t xml:space="preserve">Circular/Take-back Programs (ndugpsykwh):</w:t>
      </w:r>
      <w:r>
        <w:t xml:space="preserve"> </w:t>
      </w:r>
      <w:r>
        <w:t xml:space="preserve">Robust take-back program in place (interpreted from \'ndugpsykwh\'). This signifies kdwuvznnnv\'s commitment to product stewardship and resource recovery.</w:t>
      </w:r>
    </w:p>
    <w:p>
      <w:pPr>
        <w:numPr>
          <w:ilvl w:val="0"/>
          <w:numId w:val="1006"/>
        </w:numPr>
        <w:pStyle w:val="Compact"/>
      </w:pPr>
      <w:r>
        <w:rPr>
          <w:bCs/>
          <w:b/>
        </w:rPr>
        <w:t xml:space="preserve">Assumed Disposal (Landfill/Incineration) Emission Factor:</w:t>
      </w:r>
      <w:r>
        <w:t xml:space="preserve"> </w:t>
      </w:r>
      <w:r>
        <w:t xml:space="preserve">0.05 kg CO2e/kg for non-recycled waste.</w:t>
      </w:r>
    </w:p>
    <w:p>
      <w:pPr>
        <w:numPr>
          <w:ilvl w:val="0"/>
          <w:numId w:val="1006"/>
        </w:numPr>
        <w:pStyle w:val="Compact"/>
      </w:pPr>
      <w:r>
        <w:rPr>
          <w:bCs/>
          <w:b/>
        </w:rPr>
        <w:t xml:space="preserve">Assumed Recycling Credit Factor:</w:t>
      </w:r>
      <w:r>
        <w:t xml:space="preserve"> </w:t>
      </w:r>
      <w:r>
        <w:t xml:space="preserve">A 50% credit for avoided virgin material production for the recycled portion.</w:t>
      </w:r>
    </w:p>
    <w:bookmarkEnd w:id="28"/>
    <w:bookmarkEnd w:id="29"/>
    <w:bookmarkStart w:id="33" w:name="step-4-calculate-emissions"/>
    <w:p>
      <w:pPr>
        <w:pStyle w:val="Heading3"/>
      </w:pPr>
      <w:r>
        <w:t xml:space="preserve">2.4. Step 4: Calculate Emissions</w:t>
      </w:r>
    </w:p>
    <w:p>
      <w:pPr>
        <w:pStyle w:val="FirstParagraph"/>
      </w:pPr>
      <w:r>
        <w:t xml:space="preserve">Emissions were calculated using the formula: Activity Data × Emission Factor = CO2e. Industry-standard emission factors (e.g., from Ecoinvent/DEFRA equivalents) were utilized for processes where specific primary data was not available, as specified in the assumptions above.</w:t>
      </w:r>
    </w:p>
    <w:bookmarkStart w:id="30" w:name="ghg-protocol-categorization"/>
    <w:p>
      <w:pPr>
        <w:pStyle w:val="Heading4"/>
      </w:pPr>
      <w:r>
        <w:t xml:space="preserve">2.4.1. GHG Protocol Categorization</w:t>
      </w:r>
    </w:p>
    <w:p>
      <w:pPr>
        <w:numPr>
          <w:ilvl w:val="0"/>
          <w:numId w:val="1007"/>
        </w:numPr>
        <w:pStyle w:val="Compact"/>
      </w:pPr>
      <w:r>
        <w:rPr>
          <w:bCs/>
          <w:b/>
        </w:rPr>
        <w:t xml:space="preserve">Scope 1 Emissions:</w:t>
      </w:r>
      <w:r>
        <w:t xml:space="preserve"> </w:t>
      </w:r>
      <w:r>
        <w:t xml:space="preserve">Direct emissions from sources owned or controlled by kdwuvznnnv. For this product-level analysis, direct emissions from manufacturing facilities (e.g., on-site fuel combustion) are assumed to be negligible or allocated to corporate-level reporting, resulting in 0 kg CO2e for the product\'s Scope 1 footprint in this PCF.</w:t>
      </w:r>
    </w:p>
    <w:p>
      <w:pPr>
        <w:numPr>
          <w:ilvl w:val="0"/>
          <w:numId w:val="1007"/>
        </w:numPr>
        <w:pStyle w:val="Compact"/>
      </w:pPr>
      <w:r>
        <w:rPr>
          <w:bCs/>
          <w:b/>
        </w:rPr>
        <w:t xml:space="preserve">Scope 2 Emissions:</w:t>
      </w:r>
      <w:r>
        <w:t xml:space="preserve"> </w:t>
      </w:r>
      <w:r>
        <w:t xml:space="preserve">Indirect emissions from the generation of purchased electricity, heat, or steam. This accounts for the non-renewable portion of electricity used in the manufacturing process.</w:t>
      </w:r>
    </w:p>
    <w:p>
      <w:pPr>
        <w:numPr>
          <w:ilvl w:val="0"/>
          <w:numId w:val="1007"/>
        </w:numPr>
        <w:pStyle w:val="Compact"/>
      </w:pPr>
      <w:r>
        <w:rPr>
          <w:bCs/>
          <w:b/>
        </w:rPr>
        <w:t xml:space="preserve">Scope 3 Emissions:</w:t>
      </w:r>
      <w:r>
        <w:t xml:space="preserve"> </w:t>
      </w:r>
      <w:r>
        <w:t xml:space="preserve">All other indirect emissions in the value chain, both upstream and downstream. This includes emissions from material acquisition, transport, product use, and end-of-life.</w:t>
      </w:r>
    </w:p>
    <w:bookmarkEnd w:id="30"/>
    <w:bookmarkStart w:id="31" w:name="lsr-update-application"/>
    <w:p>
      <w:pPr>
        <w:pStyle w:val="Heading4"/>
      </w:pPr>
      <w:r>
        <w:t xml:space="preserve">2.4.2. 2026 LSR Update Application</w:t>
      </w:r>
    </w:p>
    <w:p>
      <w:pPr>
        <w:pStyle w:val="FirstParagraph"/>
      </w:pPr>
      <w:r>
        <w:t xml:space="preserve">The analysis acknowledges the</w:t>
      </w:r>
      <w:r>
        <w:t xml:space="preserve"> </w:t>
      </w:r>
      <w:r>
        <w:rPr>
          <w:bCs/>
          <w:b/>
        </w:rPr>
        <w:t xml:space="preserve">Land Sector and Removals (LSR) Standard</w:t>
      </w:r>
      <w:r>
        <w:t xml:space="preserve">, which came into effect on January 1, 2027, and was published on January 30, 2026. This standard provides accounting requirements for land emissions, CO2 removals, and biogenic products. Although the product fmzryqnyqs itself may not have direct land-use change impacts, the principles of tracking removals and land-related emissions are incorporated where applicable, particularly in the consideration of material origins and end-of-life recycling credits. The LSR Standard equips companies with methods to quantify, report, and track land emissions, CO2 removals, and other key metrics. It also offers guidance for reporting technological CO2 removals and CO2 capture with geologic storage. The accompanying Guidance document is planned for publication in the second quarter of 2026. The LSR Standard is applicable to entities with significant land sector activities or those choosing to report CO2 removals.</w:t>
      </w:r>
    </w:p>
    <w:bookmarkEnd w:id="31"/>
    <w:bookmarkStart w:id="32" w:name="scope-3-compliance"/>
    <w:p>
      <w:pPr>
        <w:pStyle w:val="Heading4"/>
      </w:pPr>
      <w:r>
        <w:t xml:space="preserve">2.4.3. Scope 3 Compliance</w:t>
      </w:r>
    </w:p>
    <w:p>
      <w:pPr>
        <w:pStyle w:val="FirstParagraph"/>
      </w:pPr>
      <w:r>
        <w:t xml:space="preserve">In line with proposed 2026 requirements, efforts have been made to ensure at least</w:t>
      </w:r>
      <w:r>
        <w:t xml:space="preserve"> </w:t>
      </w:r>
      <w:r>
        <w:rPr>
          <w:bCs/>
          <w:b/>
        </w:rPr>
        <w:t xml:space="preserve">95% coverage for Scope 3 reporting</w:t>
      </w:r>
      <w:r>
        <w:t xml:space="preserve">. The detailed breakdown across upstream and downstream categories aims to achieve comprehensive visibility across the value chain, minimizing exclusions to meet this threshold. The GHG Protocol\'s proposed updates signal a shift towards more complete, transparent, and structured Scope 3 reporting, moving from approximate measurement towards defensible accounting. Companies will need to report at least 95% of total required Scope 3 emissions, with exclusions not exceeding 5%. This necessitates moving beyond partial category coverage and addressing long-tail suppliers and lower-visibility categories.</w:t>
      </w:r>
    </w:p>
    <w:p>
      <w:r>
        <w:pict>
          <v:rect style="width:0;height:1.5pt" o:hralign="center" o:hrstd="t" o:hr="t"/>
        </w:pict>
      </w:r>
    </w:p>
    <w:bookmarkEnd w:id="32"/>
    <w:bookmarkEnd w:id="33"/>
    <w:bookmarkEnd w:id="34"/>
    <w:bookmarkStart w:id="37" w:name="product-carbon-footprint-results"/>
    <w:p>
      <w:pPr>
        <w:pStyle w:val="Heading2"/>
      </w:pPr>
      <w:r>
        <w:t xml:space="preserve">3. Product Carbon Footprint Results</w:t>
      </w:r>
    </w:p>
    <w:p>
      <w:pPr>
        <w:pStyle w:val="FirstParagraph"/>
      </w:pPr>
      <w:r>
        <w:t xml:space="preserve">The total Product Carbon Footprint for one functional unit of fmzryqnyqs is</w:t>
      </w:r>
      <w:r>
        <w:t xml:space="preserve"> </w:t>
      </w:r>
      <w:r>
        <w:rPr>
          <w:bCs/>
          <w:b/>
        </w:rPr>
        <w:t xml:space="preserve">314.35 kg CO2e</w:t>
      </w:r>
      <w:r>
        <w:t xml:space="preserve">.</w:t>
      </w:r>
    </w:p>
    <w:bookmarkStart w:id="35" w:name="emissions-by-lifecycle-stage"/>
    <w:p>
      <w:pPr>
        <w:pStyle w:val="Heading3"/>
      </w:pPr>
      <w:r>
        <w:t xml:space="preserve">3.1. Emissions by Lifecycle Stage</w:t>
      </w:r>
    </w:p>
    <w:p>
      <w:pPr>
        <w:pStyle w:val="FirstParagraph"/>
      </w:pPr>
      <w:r>
        <w:t xml:space="preserve">The following table provides a detailed breakdown of emissions across the product\'s lifecycle: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Emissions (kg)</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415.00</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8.40</w:t>
            </w:r>
          </w:p>
        </w:tc>
        <w:tc>
          <w:tcPr/>
          <w:p>
            <w:pPr>
              <w:pStyle w:val="Compact"/>
              <w:jc w:val="left"/>
            </w:pPr>
            <w:r>
              <w:t xml:space="preserve">Scope 2</w:t>
            </w:r>
          </w:p>
        </w:tc>
      </w:tr>
      <w:tr>
        <w:tc>
          <w:tcPr/>
          <w:p>
            <w:pPr>
              <w:pStyle w:val="Compact"/>
              <w:jc w:val="left"/>
            </w:pPr>
            <w:r>
              <w:t xml:space="preserve">Transportation (Upstream)</w:t>
            </w:r>
          </w:p>
        </w:tc>
        <w:tc>
          <w:tcPr/>
          <w:p>
            <w:pPr>
              <w:pStyle w:val="Compact"/>
              <w:jc w:val="left"/>
            </w:pPr>
            <w:r>
              <w:t xml:space="preserve">8.80</w:t>
            </w:r>
          </w:p>
        </w:tc>
        <w:tc>
          <w:tcPr/>
          <w:p>
            <w:pPr>
              <w:pStyle w:val="Compact"/>
              <w:jc w:val="left"/>
            </w:pPr>
            <w:r>
              <w:t xml:space="preserve">Scope 3 (Upstream)</w:t>
            </w:r>
          </w:p>
        </w:tc>
      </w:tr>
      <w:tr>
        <w:tc>
          <w:tcPr/>
          <w:p>
            <w:pPr>
              <w:pStyle w:val="Compact"/>
              <w:jc w:val="left"/>
            </w:pPr>
            <w:r>
              <w:t xml:space="preserve">Product Use</w:t>
            </w:r>
          </w:p>
        </w:tc>
        <w:tc>
          <w:tcPr/>
          <w:p>
            <w:pPr>
              <w:pStyle w:val="Compact"/>
              <w:jc w:val="left"/>
            </w:pPr>
            <w:r>
              <w:t xml:space="preserve">25.00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-142.85</w:t>
            </w:r>
          </w:p>
        </w:tc>
        <w:tc>
          <w:tcPr/>
          <w:p>
            <w:pPr>
              <w:pStyle w:val="Compact"/>
              <w:jc w:val="left"/>
            </w:pPr>
            <w:r>
              <w:t xml:space="preserve">Scope 3 (Downstream)</w:t>
            </w:r>
          </w:p>
        </w:tc>
      </w:tr>
      <w:tr>
        <w:tc>
          <w:tcPr/>
          <w:p>
            <w:pPr>
              <w:pStyle w:val="Compact"/>
              <w:jc w:val="left"/>
            </w:pPr>
            <w:r>
              <w:t xml:space="preserve">Total Product Carbon Footprint</w:t>
            </w:r>
          </w:p>
        </w:tc>
        <w:tc>
          <w:tcPr/>
          <w:p>
            <w:pPr>
              <w:pStyle w:val="Compact"/>
              <w:jc w:val="left"/>
            </w:pPr>
            <w:r>
              <w:t xml:space="preserve">314.35</w:t>
            </w:r>
          </w:p>
        </w:tc>
        <w:tc>
          <w:tcPr/>
          <w:p>
            <w:pPr>
              <w:pStyle w:val="Compact"/>
            </w:pPr>
          </w:p>
        </w:tc>
      </w:tr>
    </w:tbl>
    <w:bookmarkEnd w:id="35"/>
    <w:bookmarkStart w:id="36" w:name="emissions-by-ghg-scope"/>
    <w:p>
      <w:pPr>
        <w:pStyle w:val="Heading3"/>
      </w:pPr>
      <w:r>
        <w:t xml:space="preserve">3.2. Emissions by GHG Scope</w:t>
      </w:r>
    </w:p>
    <w:p>
      <w:pPr>
        <w:pStyle w:val="FirstParagraph"/>
      </w:pPr>
      <w:r>
        <w:t xml:space="preserve">A summary of emissions categorized by GHG Protocol Scopes is presented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8.40</w:t>
            </w:r>
          </w:p>
        </w:tc>
      </w:tr>
      <w:tr>
        <w:tc>
          <w:tcPr/>
          <w:p>
            <w:pPr>
              <w:pStyle w:val="Compact"/>
              <w:jc w:val="left"/>
            </w:pPr>
            <w:r>
              <w:t xml:space="preserve">Scope 3 (Value Chain Emissions)</w:t>
            </w:r>
          </w:p>
        </w:tc>
        <w:tc>
          <w:tcPr/>
          <w:p>
            <w:pPr>
              <w:pStyle w:val="Compact"/>
              <w:jc w:val="left"/>
            </w:pPr>
            <w:r>
              <w:t xml:space="preserve">305.95</w:t>
            </w:r>
          </w:p>
        </w:tc>
      </w:tr>
      <w:tr>
        <w:tc>
          <w:tcPr/>
          <w:p>
            <w:pPr>
              <w:pStyle w:val="Compact"/>
              <w:jc w:val="left"/>
            </w:pPr>
            <w:r>
              <w:t xml:space="preserve">Total PCF</w:t>
            </w:r>
          </w:p>
        </w:tc>
        <w:tc>
          <w:tcPr/>
          <w:p>
            <w:pPr>
              <w:pStyle w:val="Compact"/>
              <w:jc w:val="left"/>
            </w:pPr>
            <w:r>
              <w:t xml:space="preserve">314.35</w:t>
            </w:r>
          </w:p>
        </w:tc>
      </w:tr>
    </w:tbl>
    <w:p>
      <w:r>
        <w:pict>
          <v:rect style="width:0;height:1.5pt" o:hralign="center" o:hrstd="t" o:hr="t"/>
        </w:pict>
      </w:r>
    </w:p>
    <w:bookmarkEnd w:id="36"/>
    <w:bookmarkEnd w:id="37"/>
    <w:bookmarkStart w:id="42" w:name="review-report"/>
    <w:p>
      <w:pPr>
        <w:pStyle w:val="Heading2"/>
      </w:pPr>
      <w:r>
        <w:t xml:space="preserve">4. Review &amp; Report</w:t>
      </w:r>
    </w:p>
    <w:bookmarkStart w:id="38" w:name="hotspots-analysis"/>
    <w:p>
      <w:pPr>
        <w:pStyle w:val="Heading3"/>
      </w:pPr>
      <w:r>
        <w:t xml:space="preserve">4.1. Hotspots Analysis</w:t>
      </w:r>
    </w:p>
    <w:p>
      <w:pPr>
        <w:pStyle w:val="FirstParagraph"/>
      </w:pPr>
      <w:r>
        <w:t xml:space="preserve">The primary emission hotspot for fmzryqnyqs is clearly identified in the</w:t>
      </w:r>
      <w:r>
        <w:t xml:space="preserve"> </w:t>
      </w:r>
      <w:r>
        <w:rPr>
          <w:bCs/>
          <w:b/>
        </w:rPr>
        <w:t xml:space="preserve">Materials Acquisition &amp; Processing</w:t>
      </w:r>
      <w:r>
        <w:t xml:space="preserve"> </w:t>
      </w:r>
      <w:r>
        <w:t xml:space="preserve">stage, contributing 415.00 kg CO2e. This highlights the significant embodied carbon in the raw materials, particularly steel, plastic, and copper, as indicated by the detailed BOM. The</w:t>
      </w:r>
      <w:r>
        <w:t xml:space="preserve"> </w:t>
      </w:r>
      <w:r>
        <w:rPr>
          <w:bCs/>
          <w:b/>
        </w:rPr>
        <w:t xml:space="preserve">Product Use</w:t>
      </w:r>
      <w:r>
        <w:t xml:space="preserve"> </w:t>
      </w:r>
      <w:r>
        <w:t xml:space="preserve">phase also represents a notable hotspot at 25.00 kg CO2e, driven by the energy consumption over the product\'s 5-year lifespan.</w:t>
      </w:r>
    </w:p>
    <w:p>
      <w:pPr>
        <w:pStyle w:val="BodyText"/>
      </w:pPr>
      <w:r>
        <w:t xml:space="preserve">Transportation contributes a relatively smaller portion (8.80 kg CO2e), while manufacturing energy emissions are well-managed at 8.40 kg CO2e, partly due to the reported 40% renewable energy usage. The End-of-Life stage demonstrates a significant net credit (-142.85 kg CO2e) due to the high recyclability (70%) and the presence of circular/take-back programs, effectively offsetting a portion of the upstream material impacts.</w:t>
      </w:r>
    </w:p>
    <w:bookmarkEnd w:id="38"/>
    <w:bookmarkStart w:id="39" w:name="reliability-and-data-quality"/>
    <w:p>
      <w:pPr>
        <w:pStyle w:val="Heading3"/>
      </w:pPr>
      <w:r>
        <w:t xml:space="preserve">4.2. Reliability and Data Quality</w:t>
      </w:r>
    </w:p>
    <w:p>
      <w:pPr>
        <w:pStyle w:val="FirstParagraph"/>
      </w:pPr>
      <w:r>
        <w:t xml:space="preserve">The reliability of this PCF analysis is considered high, given the use of specific primary data for the Bill of Materials and customized energy and logistics parameters. Where primary data was unavailable, industry-standard emission factors (e.g., from widely recognized databases like Ecoinvent/DEFRA equivalents) were applied to ensure robust and defensible calculations. The adherence to GHG Protocol standards further enhances the credibility and transparency of the results.</w:t>
      </w:r>
    </w:p>
    <w:p>
      <w:pPr>
        <w:pStyle w:val="BodyText"/>
      </w:pPr>
      <w:r>
        <w:t xml:space="preserve">Continued efforts to collect even more granular primary data for all Scope 3 categories, particularly from suppliers (e.g., actual supplier-specific emission factors for materials and transport), would further enhance the accuracy and reduce uncertainties in future assessments.</w:t>
      </w:r>
    </w:p>
    <w:bookmarkEnd w:id="39"/>
    <w:bookmarkStart w:id="41" w:name="key-insights-recommendations"/>
    <w:p>
      <w:pPr>
        <w:pStyle w:val="Heading3"/>
      </w:pPr>
      <w:r>
        <w:t xml:space="preserve">4.3. Key Insights &amp; Recommendations</w:t>
      </w:r>
    </w:p>
    <w:p>
      <w:pPr>
        <w:numPr>
          <w:ilvl w:val="0"/>
          <w:numId w:val="1008"/>
        </w:numPr>
        <w:pStyle w:val="Compact"/>
      </w:pPr>
      <w:r>
        <w:rPr>
          <w:bCs/>
          <w:b/>
        </w:rPr>
        <w:t xml:space="preserve">Material Impact Reduction:</w:t>
      </w:r>
      <w:r>
        <w:t xml:space="preserve"> </w:t>
      </w:r>
      <w:r>
        <w:t xml:space="preserve">Focus on strategies to reduce the embodied carbon of materials. This could include exploring materials with lower emission factors, increasing the use of recycled content beyond current levels, or optimizing material usage through design.</w:t>
      </w:r>
    </w:p>
    <w:p>
      <w:pPr>
        <w:numPr>
          <w:ilvl w:val="0"/>
          <w:numId w:val="1008"/>
        </w:numPr>
        <w:pStyle w:val="Compact"/>
      </w:pPr>
      <w:r>
        <w:rPr>
          <w:bCs/>
          <w:b/>
        </w:rPr>
        <w:t xml:space="preserve">Use Phase Efficiency:</w:t>
      </w:r>
      <w:r>
        <w:t xml:space="preserve"> </w:t>
      </w:r>
      <w:r>
        <w:t xml:space="preserve">Investigate opportunities to reduce energy consumption during the product\'s use phase. This might involve design for energy efficiency, offering energy-saving tips to customers, or exploring alternative power sources for operation.</w:t>
      </w:r>
    </w:p>
    <w:p>
      <w:pPr>
        <w:numPr>
          <w:ilvl w:val="0"/>
          <w:numId w:val="1008"/>
        </w:numPr>
        <w:pStyle w:val="Compact"/>
      </w:pPr>
      <w:r>
        <w:rPr>
          <w:bCs/>
          <w:b/>
        </w:rPr>
        <w:t xml:space="preserve">Circular Economy Enhancement:</w:t>
      </w:r>
      <w:r>
        <w:t xml:space="preserve"> </w:t>
      </w:r>
      <w:r>
        <w:t xml:space="preserve">Continue to strengthen circular economy initiatives, particularly the take-back programs, to maximize the recycling and reuse of product components, building on the already significant End-of-Life credits.</w:t>
      </w:r>
    </w:p>
    <w:p>
      <w:pPr>
        <w:numPr>
          <w:ilvl w:val="0"/>
          <w:numId w:val="1008"/>
        </w:numPr>
        <w:pStyle w:val="Compact"/>
      </w:pPr>
      <w:r>
        <w:rPr>
          <w:bCs/>
          <w:b/>
        </w:rPr>
        <w:t xml:space="preserve">Supplier Engagement:</w:t>
      </w:r>
      <w:r>
        <w:t xml:space="preserve"> </w:t>
      </w:r>
      <w:r>
        <w:t xml:space="preserve">Engage with key material and logistics suppliers to obtain primary, supplier-specific emission data. This will improve the accuracy of Scope 3 upstream emissions and identify specific opportunities for decarbonization within the supply chain.</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fmzryqnyqs</dc:title>
  <dc:creator/>
  <dc:description>Detailed Product Carbon Footprint (PCF) analysis report for fmzryqnyqs, following GHG Protocol standards and 2026 updates, prepared by Senior Sustainability Consultant iwhfvilzgd for kdwuvznnnv.</dc:description>
  <dc:language>en</dc:language>
  <cp:keywords/>
  <dcterms:created xsi:type="dcterms:W3CDTF">2026-07-15T09:34:54Z</dcterms:created>
  <dcterms:modified xsi:type="dcterms:W3CDTF">2026-07-15T09:34:54Z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