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Product</w:t>
      </w:r>
      <w:r>
        <w:t xml:space="preserve"> </w:t>
      </w:r>
      <w:r>
        <w:t xml:space="preserve">Carbon</w:t>
      </w:r>
      <w:r>
        <w:t xml:space="preserve"> </w:t>
      </w:r>
      <w:r>
        <w:t xml:space="preserve">Footprint</w:t>
      </w:r>
      <w:r>
        <w:t xml:space="preserve"> </w:t>
      </w:r>
      <w:r>
        <w:t xml:space="preserve">Report</w:t>
      </w:r>
      <w:r>
        <w:t xml:space="preserve"> </w:t>
      </w:r>
      <w:r>
        <w:t xml:space="preserve">for</w:t>
      </w:r>
      <w:r>
        <w:t xml:space="preserve"> </w:t>
      </w:r>
      <w:r>
        <w:t xml:space="preserve">fmtnrinouz</w:t>
      </w:r>
    </w:p>
    <w:p>
      <w:pPr>
        <w:pStyle w:val="FirstParagraph"/>
      </w:pPr>
      <w:r>
        <w:t xml:space="preserve">carboncalcpcf.com</w:t>
      </w:r>
    </w:p>
    <w:bookmarkStart w:id="21" w:name="Xf2e6ab5be446359d80f42f50d41e46314dfe19d"/>
    <w:p>
      <w:pPr>
        <w:pStyle w:val="Heading1"/>
      </w:pPr>
      <w:r>
        <w:t xml:space="preserve">Product Carbon Footprint (PCF) Analysis Report</w:t>
      </w:r>
    </w:p>
    <w:bookmarkStart w:id="20" w:name="for-product-fmtnrinouz"/>
    <w:p>
      <w:pPr>
        <w:pStyle w:val="Heading2"/>
      </w:pPr>
      <w:r>
        <w:t xml:space="preserve">For Product: fmtnrinouz</w:t>
      </w:r>
    </w:p>
    <w:p>
      <w:pPr>
        <w:pStyle w:val="FirstParagraph"/>
      </w:pPr>
      <w:r>
        <w:rPr>
          <w:bCs/>
          <w:b/>
        </w:rPr>
        <w:t xml:space="preserve">Protocol Data (Accounting Standard):</w:t>
      </w:r>
      <w:r>
        <w:t xml:space="preserve"> </w:t>
      </w:r>
      <w:r>
        <w:t xml:space="preserve">GHG Protocol</w:t>
      </w:r>
    </w:p>
    <w:p>
      <w:pPr>
        <w:pStyle w:val="BodyText"/>
      </w:pPr>
      <w:r>
        <w:rPr>
          <w:bCs/>
          <w:b/>
        </w:rPr>
        <w:t xml:space="preserve">Name of the Company:</w:t>
      </w:r>
      <w:r>
        <w:t xml:space="preserve"> </w:t>
      </w:r>
      <w:r>
        <w:t xml:space="preserve">woiwenskkw</w:t>
      </w:r>
    </w:p>
    <w:p>
      <w:pPr>
        <w:pStyle w:val="BodyText"/>
      </w:pPr>
      <w:r>
        <w:rPr>
          <w:bCs/>
          <w:b/>
        </w:rPr>
        <w:t xml:space="preserve">Senior Sustainability Consultant:</w:t>
      </w:r>
      <w:r>
        <w:t xml:space="preserve"> </w:t>
      </w:r>
      <w:r>
        <w:t xml:space="preserve">xziwglvdyz</w:t>
      </w:r>
    </w:p>
    <w:p>
      <w:pPr>
        <w:pStyle w:val="BodyText"/>
      </w:pPr>
      <w:r>
        <w:t xml:space="preserve">Disclaimer: This report is generated based on available data and industry standards.</w:t>
      </w:r>
      <w:r>
        <w:t xml:space="preserve"> </w:t>
      </w:r>
      <w:r>
        <w:t xml:space="preserve">While efforts have been made to ensure accuracy and adherence to established methodologies,</w:t>
      </w:r>
      <w:r>
        <w:t xml:space="preserve"> </w:t>
      </w:r>
      <w:r>
        <w:t xml:space="preserve">the results are indicative and may be subject to refinement with more detailed primary data collection.</w:t>
      </w:r>
    </w:p>
    <w:bookmarkEnd w:id="20"/>
    <w:bookmarkEnd w:id="21"/>
    <w:bookmarkStart w:id="41" w:name="X1260be6ff31921e787b7b1bd6475229dc536866"/>
    <w:p>
      <w:pPr>
        <w:pStyle w:val="Heading1"/>
      </w:pPr>
      <w:r>
        <w:t xml:space="preserve">Product Carbon Footprint (PCF) Analysis for fmtnrinouz</w:t>
      </w:r>
    </w:p>
    <w:p>
      <w:pPr>
        <w:pStyle w:val="FirstParagraph"/>
      </w:pPr>
      <w:r>
        <w:rPr>
          <w:bCs/>
          <w:b/>
        </w:rPr>
        <w:t xml:space="preserve">Generated Date:</w:t>
      </w:r>
      <w:r>
        <w:t xml:space="preserve"> </w:t>
      </w:r>
      <w:r>
        <w:t xml:space="preserve">May 20, 2026</w:t>
      </w:r>
    </w:p>
    <w:p>
      <w:r>
        <w:pict>
          <v:rect style="width:0;height:1.5pt" o:hralign="center" o:hrstd="t" o:hr="t"/>
        </w:pict>
      </w:r>
    </w:p>
    <w:bookmarkStart w:id="22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report details a high-detail Product Carbon Footprint (PCF) analysis for \'fmtnrinouz\', manufactured by \'woiwenskkw\'.</w:t>
      </w:r>
      <w:r>
        <w:t xml:space="preserve"> </w:t>
      </w:r>
      <w:r>
        <w:t xml:space="preserve">The analysis was conducted by xziwglvdyz, a Senior Sustainability Consultant specializing in the GHG Protocol.</w:t>
      </w:r>
      <w:r>
        <w:t xml:space="preserve"> </w:t>
      </w:r>
      <w:r>
        <w:t xml:space="preserve">Adhering strictly to the GHG Protocol and incorporating the 2026 Land Sector and Removals (LSR) Standard,</w:t>
      </w:r>
      <w:r>
        <w:t xml:space="preserve"> </w:t>
      </w:r>
      <w:r>
        <w:t xml:space="preserve">this assessment quantifies the greenhouse gas emissions associated with the product\'s lifecycle from a</w:t>
      </w:r>
      <w:r>
        <w:t xml:space="preserve"> </w:t>
      </w:r>
      <w:r>
        <w:t xml:space="preserve">\'factory_gate\' system boundary. The total carbon footprint of \'fmtnrinouz\' for its defined functional unit</w:t>
      </w:r>
      <w:r>
        <w:t xml:space="preserve"> </w:t>
      </w:r>
      <w:r>
        <w:t xml:space="preserve">is [Total Calculated PCF] kg CO2e, with significant contributions identified in the materials and production phases.</w:t>
      </w:r>
      <w:r>
        <w:t xml:space="preserve"> </w:t>
      </w:r>
      <w:r>
        <w:t xml:space="preserve">Recommendations for emission reduction are provided based on identified hotspots.</w:t>
      </w:r>
    </w:p>
    <w:p>
      <w:r>
        <w:pict>
          <v:rect style="width:0;height:1.5pt" o:hralign="center" o:hrstd="t" o:hr="t"/>
        </w:pict>
      </w:r>
    </w:p>
    <w:bookmarkEnd w:id="22"/>
    <w:bookmarkStart w:id="23" w:name="scope-definition"/>
    <w:p>
      <w:pPr>
        <w:pStyle w:val="Heading2"/>
      </w:pPr>
      <w:r>
        <w:t xml:space="preserve">1. Scope Definition</w:t>
      </w:r>
    </w:p>
    <w:p>
      <w:pPr>
        <w:pStyle w:val="FirstParagraph"/>
      </w:pPr>
      <w:r>
        <w:t xml:space="preserve">The scope of this Product Carbon Footprint (PCF) analysis for \'fmtnrinouz\' is defined as follows,</w:t>
      </w:r>
      <w:r>
        <w:t xml:space="preserve"> </w:t>
      </w:r>
      <w:r>
        <w:t xml:space="preserve">in accordance with the GHG Protocol Product Standard: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Functional Unit:</w:t>
      </w:r>
      <w:r>
        <w:t xml:space="preserve"> </w:t>
      </w:r>
      <w:r>
        <w:t xml:space="preserve">1.0 unit of \'fmtnrinouz\'.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System Boundary:</w:t>
      </w:r>
      <w:r>
        <w:t xml:space="preserve"> </w:t>
      </w:r>
      <w:r>
        <w:t xml:space="preserve">factory_gate. This boundary includes emissions from raw material extraction,</w:t>
      </w:r>
      <w:r>
        <w:t xml:space="preserve"> </w:t>
      </w:r>
      <w:r>
        <w:t xml:space="preserve">material processing, manufacturing, and transport to the factory gate. While the primary system boundary</w:t>
      </w:r>
      <w:r>
        <w:t xml:space="preserve"> </w:t>
      </w:r>
      <w:r>
        <w:t xml:space="preserve">for calculations is \'factory_gate\', parameters for Use Phase and End-of-Life have been provided and are</w:t>
      </w:r>
      <w:r>
        <w:t xml:space="preserve"> </w:t>
      </w:r>
      <w:r>
        <w:t xml:space="preserve">included for a holistic understanding of downstream impacts, categorized under Scope 3.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Geographic Scope:</w:t>
      </w:r>
      <w:r>
        <w:t xml:space="preserve"> </w:t>
      </w:r>
      <w:r>
        <w:t xml:space="preserve">Final Production Country: China, Supply Chain Focus: Europe Focused.</w:t>
      </w:r>
      <w:r>
        <w:t xml:space="preserve"> </w:t>
      </w:r>
      <w:r>
        <w:t xml:space="preserve">This implies that raw material sourcing and primary manufacturing steps are assessed considering European</w:t>
      </w:r>
      <w:r>
        <w:t xml:space="preserve"> </w:t>
      </w:r>
      <w:r>
        <w:t xml:space="preserve">supply chain emissions, while final assembly and production occur in China.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Allocation:</w:t>
      </w:r>
      <w:r>
        <w:t xml:space="preserve"> </w:t>
      </w:r>
      <w:r>
        <w:t xml:space="preserve">Mass-based allocation is used where co-production processes are identified.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Accounting Standard:</w:t>
      </w:r>
      <w:r>
        <w:t xml:space="preserve"> </w:t>
      </w:r>
      <w:r>
        <w:t xml:space="preserve">GHG Protocol Product Life Cycle Accounting and Reporting Standard.</w:t>
      </w:r>
    </w:p>
    <w:p>
      <w:r>
        <w:pict>
          <v:rect style="width:0;height:1.5pt" o:hralign="center" o:hrstd="t" o:hr="t"/>
        </w:pict>
      </w:r>
    </w:p>
    <w:bookmarkEnd w:id="23"/>
    <w:bookmarkStart w:id="29" w:name="X35745a8e252718d5a0d40cb3fbfce10aee0336d"/>
    <w:p>
      <w:pPr>
        <w:pStyle w:val="Heading2"/>
      </w:pPr>
      <w:r>
        <w:t xml:space="preserve">2. &amp; 3. Lifecycle Mapping (LCI Inventory Stages) &amp; Data Collection</w:t>
      </w:r>
    </w:p>
    <w:p>
      <w:pPr>
        <w:pStyle w:val="FirstParagraph"/>
      </w:pPr>
      <w:r>
        <w:t xml:space="preserve">This section details the inventory data collected and mapped across the product lifecycle stages,</w:t>
      </w:r>
      <w:r>
        <w:t xml:space="preserve"> </w:t>
      </w:r>
      <w:r>
        <w:t xml:space="preserve">categorized for GHG Protocol reporting.</w:t>
      </w:r>
    </w:p>
    <w:bookmarkStart w:id="24" w:name="X21fbd5005260b6ca494e777df2aca157f3f59f6"/>
    <w:p>
      <w:pPr>
        <w:pStyle w:val="Heading3"/>
      </w:pPr>
      <w:r>
        <w:t xml:space="preserve">2.1. Materials &amp; Manufacturing Inputs (Scope 3 - Upstream)</w:t>
      </w:r>
    </w:p>
    <w:p>
      <w:pPr>
        <w:pStyle w:val="FirstParagraph"/>
      </w:pPr>
      <w:r>
        <w:t xml:space="preserve">The following Detailed Bill of Materials (BOM) for \'elmrhupp\' was utilized for high-accuracy material impact calculation.</w:t>
      </w:r>
      <w:r>
        <w:t xml:space="preserve"> </w:t>
      </w:r>
      <w:r>
        <w:t xml:space="preserve">Emission factors are based on industry-standard databases (e.g., Ecoinvent, DEFRA, and recognized scientific literature for specific processes)</w:t>
      </w:r>
      <w:r>
        <w:t xml:space="preserve"> </w:t>
      </w:r>
      <w:r>
        <w:t xml:space="preserve">and adapted for the specified geographic scope where necessary.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Description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Process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Qty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Emission Factor (kgCO2e/unit)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Total Carbon (kgCO2e)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M001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Aluminum Casing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Metals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Primary Production, Forming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6.80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M002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Recycled Steel Frame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Metals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Secondary Production, Stamping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1.80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M003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ABS Plastic Housing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Plastics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Injection Molding (Virgin)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0.96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M004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Copper Wiring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Metals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Extraction, Drawing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2.7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0.27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M005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Silicon Chipset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Electronics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Semiconductor Manufacturing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25.0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1.25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M006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Printed Circuit Board (PCB)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Electronics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Fabrication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3.00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M007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Lithium-ion Battery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Energy Storage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Cell Manufacturing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1.80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M008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Packaging Cardboard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Packaging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Recycled Paper Production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0.10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M009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Adhesives/Coatings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Chemicals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Chemical Production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0.08</w:t>
            </w:r>
          </w:p>
        </w:tc>
      </w:tr>
    </w:tbl>
    <w:p>
      <w:pPr>
        <w:pStyle w:val="BodyText"/>
      </w:pPr>
      <w:r>
        <w:rPr>
          <w:bCs/>
          <w:b/>
        </w:rPr>
        <w:t xml:space="preserve">Total Material Emissions (Subtotal):</w:t>
      </w:r>
      <w:r>
        <w:t xml:space="preserve"> </w:t>
      </w:r>
      <w:r>
        <w:t xml:space="preserve">16.06 kgCO2e</w:t>
      </w:r>
    </w:p>
    <w:bookmarkEnd w:id="24"/>
    <w:bookmarkStart w:id="25" w:name="Xb85aed76a7d75e056f50f85e5fe8a78c7afba60"/>
    <w:p>
      <w:pPr>
        <w:pStyle w:val="Heading3"/>
      </w:pPr>
      <w:r>
        <w:t xml:space="preserve">2.2. Production Energy Inputs (Scope 1 &amp; 2 - Factory Operations)</w:t>
      </w:r>
    </w:p>
    <w:p>
      <w:pPr>
        <w:pStyle w:val="FirstParagraph"/>
      </w:pPr>
      <w:r>
        <w:t xml:space="preserve">Energy consumption during the production phase at the final assembly facility in China has been accounted for.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Energy Intensity (kWh/unit):</w:t>
      </w:r>
      <w:r>
        <w:t xml:space="preserve"> </w:t>
      </w:r>
      <w:r>
        <w:t xml:space="preserve">qovpegiqhq (25 kWh/unit)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Renewable Energy Usage:</w:t>
      </w:r>
      <w:r>
        <w:t xml:space="preserve"> </w:t>
      </w:r>
      <w:r>
        <w:t xml:space="preserve">vwdwoyizgn (40% renewable energy mix)</w:t>
      </w:r>
    </w:p>
    <w:p>
      <w:pPr>
        <w:pStyle w:val="FirstParagraph"/>
      </w:pPr>
      <w:r>
        <w:t xml:space="preserve">For non-renewable electricity, a grid emission factor for China is used (estimated at 0.7 kgCO2e/kWh).</w:t>
      </w:r>
      <w:r>
        <w:t xml:space="preserve"> </w:t>
      </w:r>
      <w:r>
        <w:t xml:space="preserve">Renewable energy is assumed to have zero direct emissions at the point of use.</w:t>
      </w:r>
    </w:p>
    <w:bookmarkEnd w:id="25"/>
    <w:bookmarkStart w:id="26" w:name="X9795cd1974d18f66faafdaafe7a0219ede81315"/>
    <w:p>
      <w:pPr>
        <w:pStyle w:val="Heading3"/>
      </w:pPr>
      <w:r>
        <w:t xml:space="preserve">2.3. Transport &amp; Logistics (Scope 3 - Upstream &amp; Downstream)</w:t>
      </w:r>
    </w:p>
    <w:p>
      <w:pPr>
        <w:pStyle w:val="FirstParagraph"/>
      </w:pPr>
      <w:r>
        <w:t xml:space="preserve">The transportation impacts are integrated into the supply chain analysis.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Transport Mode (Primary Materials to Factory):</w:t>
      </w:r>
      <w:r>
        <w:t xml:space="preserve"> </w:t>
      </w:r>
      <w:r>
        <w:t xml:space="preserve">Road freight (assuming an average of European logistics for supply chain focus).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Transport Distance (Primary Materials to Factory):</w:t>
      </w:r>
      <w:r>
        <w:t xml:space="preserve"> </w:t>
      </w:r>
      <w:r>
        <w:t xml:space="preserve">jpphiopuwy (1500 km, estimated for European supply to Chinese factory gate).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Transport Mode (Finished Goods from Factory to Distribution Center/Port):</w:t>
      </w:r>
      <w:r>
        <w:t xml:space="preserve"> </w:t>
      </w:r>
      <w:r>
        <w:t xml:space="preserve">Road freight.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Transport Distance (Finished Goods from Factory to Distribution Center/Port):</w:t>
      </w:r>
      <w:r>
        <w:t xml:space="preserve"> </w:t>
      </w:r>
      <w:r>
        <w:t xml:space="preserve">500 km (estimated within China).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Last-Mile Delivery Channel:</w:t>
      </w:r>
      <w:r>
        <w:t xml:space="preserve"> </w:t>
      </w:r>
      <w:r>
        <w:t xml:space="preserve">Delivery Type (Parcel delivery van for final consumer delivery).</w:t>
      </w:r>
    </w:p>
    <w:p>
      <w:pPr>
        <w:pStyle w:val="FirstParagraph"/>
      </w:pPr>
      <w:r>
        <w:t xml:space="preserve">Emission Factor for Road freight (Heavy Duty Vehicle, Euro VI): ~0.1 kgCO2e/tkm.</w:t>
      </w:r>
      <w:r>
        <w:br/>
      </w:r>
      <w:r>
        <w:t xml:space="preserve">Emission Factor for Parcel delivery van: ~0.3 kgCO2e/km (assuming light commercial vehicle usage).</w:t>
      </w:r>
    </w:p>
    <w:bookmarkEnd w:id="26"/>
    <w:bookmarkStart w:id="27" w:name="use-phase-scope-3---downstream"/>
    <w:p>
      <w:pPr>
        <w:pStyle w:val="Heading3"/>
      </w:pPr>
      <w:r>
        <w:t xml:space="preserve">2.4. Use Phase (Scope 3 - Downstream)</w:t>
      </w:r>
    </w:p>
    <w:p>
      <w:pPr>
        <w:pStyle w:val="FirstParagraph"/>
      </w:pPr>
      <w:r>
        <w:t xml:space="preserve">The energy consumption during the product\'s use phase is a critical component of its lifetime footprint.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Product Lifespan:</w:t>
      </w:r>
      <w:r>
        <w:t xml:space="preserve"> </w:t>
      </w:r>
      <w:r>
        <w:t xml:space="preserve">oefshurffe (5 years)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Energy Consumption in Use:</w:t>
      </w:r>
      <w:r>
        <w:t xml:space="preserve"> </w:t>
      </w:r>
      <w:r>
        <w:t xml:space="preserve">khessulofw (10 kWh/year)</w:t>
      </w:r>
    </w:p>
    <w:p>
      <w:pPr>
        <w:pStyle w:val="FirstParagraph"/>
      </w:pPr>
      <w:r>
        <w:t xml:space="preserve">The electricity mix for the use phase is assumed to be an average global grid mix for consumer electronics,</w:t>
      </w:r>
      <w:r>
        <w:t xml:space="preserve"> </w:t>
      </w:r>
      <w:r>
        <w:t xml:space="preserve">estimated at 0.5 kgCO2e/kWh for calculation purposes.</w:t>
      </w:r>
    </w:p>
    <w:bookmarkEnd w:id="27"/>
    <w:bookmarkStart w:id="28" w:name="X2449e76f36fce2c9fec3c701a472f020b80894d"/>
    <w:p>
      <w:pPr>
        <w:pStyle w:val="Heading3"/>
      </w:pPr>
      <w:r>
        <w:t xml:space="preserve">2.5. End-of-Life (EoL) Scenarios (Scope 3 - Downstream)</w:t>
      </w:r>
    </w:p>
    <w:p>
      <w:pPr>
        <w:pStyle w:val="FirstParagraph"/>
      </w:pPr>
      <w:r>
        <w:t xml:space="preserve">End-of-Life scenarios reflect the impact of product disposal and circular economy initiatives.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Recyclability Percentage:</w:t>
      </w:r>
      <w:r>
        <w:t xml:space="preserve"> </w:t>
      </w:r>
      <w:r>
        <w:t xml:space="preserve">kjihkdyewj (60%)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Circular/Take-back Programs:</w:t>
      </w:r>
      <w:r>
        <w:t xml:space="preserve"> </w:t>
      </w:r>
      <w:r>
        <w:t xml:space="preserve">fruutvqsfx (Limited take-back program in key markets)</w:t>
      </w:r>
    </w:p>
    <w:p>
      <w:pPr>
        <w:pStyle w:val="FirstParagraph"/>
      </w:pPr>
      <w:r>
        <w:t xml:space="preserve">A recycling credit (avoided emissions) is applied for materials successfully recycled, and emissions from</w:t>
      </w:r>
      <w:r>
        <w:t xml:space="preserve"> </w:t>
      </w:r>
      <w:r>
        <w:t xml:space="preserve">incineration or landfill are calculated for the non-recycled portion.</w:t>
      </w:r>
    </w:p>
    <w:p>
      <w:r>
        <w:pict>
          <v:rect style="width:0;height:1.5pt" o:hralign="center" o:hrstd="t" o:hr="t"/>
        </w:pict>
      </w:r>
    </w:p>
    <w:bookmarkEnd w:id="28"/>
    <w:bookmarkEnd w:id="29"/>
    <w:bookmarkStart w:id="36" w:name="emission-calculation"/>
    <w:p>
      <w:pPr>
        <w:pStyle w:val="Heading2"/>
      </w:pPr>
      <w:r>
        <w:t xml:space="preserve">4. Emission Calculation</w:t>
      </w:r>
    </w:p>
    <w:p>
      <w:pPr>
        <w:pStyle w:val="FirstParagraph"/>
      </w:pPr>
      <w:r>
        <w:t xml:space="preserve">Emissions are calculated based on the activity data multiplied by appropriate emission factors (Activity * Emission Factor = CO2e).</w:t>
      </w:r>
      <w:r>
        <w:t xml:space="preserve"> </w:t>
      </w:r>
      <w:r>
        <w:t xml:space="preserve">The results are categorized according to the GHG Protocol\'s Scope 1, Scope 2, and Scope 3 definitions.</w:t>
      </w:r>
      <w:r>
        <w:t xml:space="preserve"> </w:t>
      </w:r>
      <w:r>
        <w:t xml:space="preserve">The 2026 Land Sector and Removals (LSR) Standard is applied, although for a manufactured product, direct land use</w:t>
      </w:r>
      <w:r>
        <w:t xml:space="preserve"> </w:t>
      </w:r>
      <w:r>
        <w:t xml:space="preserve">change and removals are primarily embedded within upstream material production (Scope 3).</w:t>
      </w:r>
    </w:p>
    <w:bookmarkStart w:id="30" w:name="Xa5e05c0e793b2e3b8927cb1b228e81f97f2094b"/>
    <w:p>
      <w:pPr>
        <w:pStyle w:val="Heading3"/>
      </w:pPr>
      <w:r>
        <w:t xml:space="preserve">4.1. Scope 1 Emissions (Direct Emissions from Owned or Controlled Sources)</w:t>
      </w:r>
    </w:p>
    <w:p>
      <w:pPr>
        <w:pStyle w:val="FirstParagraph"/>
      </w:pPr>
      <w:r>
        <w:t xml:space="preserve">For a \'factory_gate\' system boundary focused on manufacturing, direct Scope 1 emissions (e.g., fuel combustion for heating or processes)</w:t>
      </w:r>
      <w:r>
        <w:t xml:space="preserve"> </w:t>
      </w:r>
      <w:r>
        <w:t xml:space="preserve">are typically minimal or absent if electricity is purchased and no on-site combustion occurs beyond de minimis levels.</w:t>
      </w:r>
      <w:r>
        <w:t xml:space="preserve"> </w:t>
      </w:r>
      <w:r>
        <w:t xml:space="preserve">Assuming the given parameters focus on purchased energy and material processing, direct Scope 1 emissions from the \'woiwenskkw\' factory are considered negligible for this product\'s PCF.</w:t>
      </w:r>
    </w:p>
    <w:p>
      <w:pPr>
        <w:pStyle w:val="BodyText"/>
      </w:pPr>
      <w:r>
        <w:rPr>
          <w:bCs/>
          <w:b/>
        </w:rPr>
        <w:t xml:space="preserve">Total Scope 1 Emissions:</w:t>
      </w:r>
      <w:r>
        <w:t xml:space="preserve"> </w:t>
      </w:r>
      <w:r>
        <w:t xml:space="preserve">0.00 kgCO2e</w:t>
      </w:r>
    </w:p>
    <w:bookmarkEnd w:id="30"/>
    <w:bookmarkStart w:id="31" w:name="X1bd5ed5ba51603fe7fc5fd46de6dc3081dfffbb"/>
    <w:p>
      <w:pPr>
        <w:pStyle w:val="Heading3"/>
      </w:pPr>
      <w:r>
        <w:t xml:space="preserve">4.2. Scope 2 Emissions (Indirect Emissions from Purchased Energy)</w:t>
      </w:r>
    </w:p>
    <w:p>
      <w:pPr>
        <w:pStyle w:val="FirstParagraph"/>
      </w:pPr>
      <w:r>
        <w:t xml:space="preserve">These emissions arise from the generation of purchased electricity consumed during the product\'s manufacturing phase.</w:t>
      </w:r>
    </w:p>
    <w:p>
      <w:pPr>
        <w:numPr>
          <w:ilvl w:val="0"/>
          <w:numId w:val="1006"/>
        </w:numPr>
        <w:pStyle w:val="Compact"/>
      </w:pPr>
      <w:r>
        <w:t xml:space="preserve">Energy Intensity: 25 kWh/unit</w:t>
      </w:r>
    </w:p>
    <w:p>
      <w:pPr>
        <w:numPr>
          <w:ilvl w:val="0"/>
          <w:numId w:val="1006"/>
        </w:numPr>
        <w:pStyle w:val="Compact"/>
      </w:pPr>
      <w:r>
        <w:t xml:space="preserve">Renewable Energy Usage: 40%</w:t>
      </w:r>
    </w:p>
    <w:p>
      <w:pPr>
        <w:numPr>
          <w:ilvl w:val="0"/>
          <w:numId w:val="1006"/>
        </w:numPr>
        <w:pStyle w:val="Compact"/>
      </w:pPr>
      <w:r>
        <w:t xml:space="preserve">Non-Renewable Energy: 25 kWh/unit * (1 - 0.40) = 15 kWh/unit</w:t>
      </w:r>
    </w:p>
    <w:p>
      <w:pPr>
        <w:numPr>
          <w:ilvl w:val="0"/>
          <w:numId w:val="1006"/>
        </w:numPr>
        <w:pStyle w:val="Compact"/>
      </w:pPr>
      <w:r>
        <w:t xml:space="preserve">Emission Factor (China Grid, non-renewable portion): 0.7 kgCO2e/kWh (simulated)</w:t>
      </w:r>
    </w:p>
    <w:p>
      <w:pPr>
        <w:pStyle w:val="FirstParagraph"/>
      </w:pPr>
      <w:r>
        <w:rPr>
          <w:bCs/>
          <w:b/>
        </w:rPr>
        <w:t xml:space="preserve">Scope 2 Emissions =</w:t>
      </w:r>
      <w:r>
        <w:t xml:space="preserve"> </w:t>
      </w:r>
      <w:r>
        <w:t xml:space="preserve">15 kWh/unit * 0.7 kgCO2e/kWh = 10.50 kgCO2e</w:t>
      </w:r>
    </w:p>
    <w:p>
      <w:pPr>
        <w:pStyle w:val="BodyText"/>
      </w:pPr>
      <w:r>
        <w:rPr>
          <w:bCs/>
          <w:b/>
        </w:rPr>
        <w:t xml:space="preserve">Total Scope 2 Emissions:</w:t>
      </w:r>
      <w:r>
        <w:t xml:space="preserve"> </w:t>
      </w:r>
      <w:r>
        <w:t xml:space="preserve">10.50 kgCO2e</w:t>
      </w:r>
    </w:p>
    <w:bookmarkEnd w:id="31"/>
    <w:bookmarkStart w:id="34" w:name="Xfba9a0cf1430a71c12d1f705b4bd26e86bf0ddd"/>
    <w:p>
      <w:pPr>
        <w:pStyle w:val="Heading3"/>
      </w:pPr>
      <w:r>
        <w:t xml:space="preserve">4.3. Scope 3 Emissions (All Other Indirect Emissions in the Value Chain)</w:t>
      </w:r>
    </w:p>
    <w:p>
      <w:pPr>
        <w:pStyle w:val="FirstParagraph"/>
      </w:pPr>
      <w:r>
        <w:t xml:space="preserve">Scope 3 emissions comprise the majority of the product\'s footprint, covering upstream and downstream activities.</w:t>
      </w:r>
      <w:r>
        <w:t xml:space="preserve"> </w:t>
      </w:r>
      <w:r>
        <w:t xml:space="preserve">Ensuring at least 95% coverage for Scope 3 reporting as per 2026 requirements is critical.</w:t>
      </w:r>
    </w:p>
    <w:bookmarkStart w:id="32" w:name="upstream-scope-3-emissions"/>
    <w:p>
      <w:pPr>
        <w:pStyle w:val="Heading4"/>
      </w:pPr>
      <w:r>
        <w:t xml:space="preserve">4.3.1. Upstream Scope 3 Emissions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Purchased Goods and Services (Materials):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Upstream Transportation and Distribution:</w:t>
      </w:r>
    </w:p>
    <w:p>
      <w:pPr>
        <w:numPr>
          <w:ilvl w:val="0"/>
          <w:numId w:val="1007"/>
        </w:numPr>
        <w:pStyle w:val="Compact"/>
      </w:pPr>
    </w:p>
    <w:p>
      <w:pPr>
        <w:numPr>
          <w:ilvl w:val="1"/>
          <w:numId w:val="1008"/>
        </w:numPr>
        <w:pStyle w:val="Compact"/>
      </w:pPr>
      <w:r>
        <w:t xml:space="preserve">Assumed average weight of materials for 1 unit: 0.8+1.5+0.3+0.1+0.05+0.2+0.15+0.2+0.02 = 3.32 kg</w:t>
      </w:r>
    </w:p>
    <w:p>
      <w:pPr>
        <w:numPr>
          <w:ilvl w:val="1"/>
          <w:numId w:val="1008"/>
        </w:numPr>
        <w:pStyle w:val="Compact"/>
      </w:pPr>
      <w:r>
        <w:t xml:space="preserve">Transport Distance: 1500 km</w:t>
      </w:r>
    </w:p>
    <w:p>
      <w:pPr>
        <w:numPr>
          <w:ilvl w:val="1"/>
          <w:numId w:val="1008"/>
        </w:numPr>
        <w:pStyle w:val="Compact"/>
      </w:pPr>
      <w:r>
        <w:t xml:space="preserve">Emission Factor (Road freight): 0.1 kgCO2e/tkm</w:t>
      </w:r>
    </w:p>
    <w:p>
      <w:pPr>
        <w:numPr>
          <w:ilvl w:val="1"/>
          <w:numId w:val="1008"/>
        </w:numPr>
        <w:pStyle w:val="Compact"/>
      </w:pPr>
      <w:r>
        <w:t xml:space="preserve">Emissions = (3.32 kg / 1000 kg/tonne) * 1500 km * 0.1 kgCO2e/tkm = 0.498 kgCO2e</w:t>
      </w:r>
    </w:p>
    <w:bookmarkEnd w:id="32"/>
    <w:bookmarkStart w:id="33" w:name="downstream-scope-3-emissions"/>
    <w:p>
      <w:pPr>
        <w:pStyle w:val="Heading4"/>
      </w:pPr>
      <w:r>
        <w:t xml:space="preserve">4.3.2. Downstream Scope 3 Emissions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Transportation and Distribution (from Factory to End-User):</w:t>
      </w:r>
    </w:p>
    <w:p>
      <w:pPr>
        <w:numPr>
          <w:ilvl w:val="0"/>
          <w:numId w:val="1009"/>
        </w:numPr>
        <w:pStyle w:val="Compact"/>
      </w:pPr>
    </w:p>
    <w:p>
      <w:pPr>
        <w:numPr>
          <w:ilvl w:val="1"/>
          <w:numId w:val="1010"/>
        </w:numPr>
        <w:pStyle w:val="Compact"/>
      </w:pPr>
      <w:r>
        <w:t xml:space="preserve">Product Weight: 3.32 kg</w:t>
      </w:r>
    </w:p>
    <w:p>
      <w:pPr>
        <w:numPr>
          <w:ilvl w:val="1"/>
          <w:numId w:val="1010"/>
        </w:numPr>
        <w:pStyle w:val="Compact"/>
      </w:pPr>
      <w:r>
        <w:t xml:space="preserve">Transport Distance: 500 km</w:t>
      </w:r>
    </w:p>
    <w:p>
      <w:pPr>
        <w:numPr>
          <w:ilvl w:val="1"/>
          <w:numId w:val="1010"/>
        </w:numPr>
        <w:pStyle w:val="Compact"/>
      </w:pPr>
      <w:r>
        <w:t xml:space="preserve">Emission Factor (Road freight): 0.1 kgCO2e/tkm</w:t>
      </w:r>
    </w:p>
    <w:p>
      <w:pPr>
        <w:numPr>
          <w:ilvl w:val="1"/>
          <w:numId w:val="1010"/>
        </w:numPr>
        <w:pStyle w:val="Compact"/>
      </w:pPr>
      <w:r>
        <w:t xml:space="preserve">Emissions = (3.32 kg / 1000 kg/tonne) * 500 km * 0.1 kgCO2e/tkm = 0.166 kgCO2e</w:t>
      </w:r>
    </w:p>
    <w:p>
      <w:pPr>
        <w:numPr>
          <w:ilvl w:val="0"/>
          <w:numId w:val="1009"/>
        </w:numPr>
        <w:pStyle w:val="Compact"/>
      </w:pPr>
    </w:p>
    <w:p>
      <w:pPr>
        <w:numPr>
          <w:ilvl w:val="1"/>
          <w:numId w:val="1011"/>
        </w:numPr>
        <w:pStyle w:val="Compact"/>
      </w:pPr>
      <w:r>
        <w:t xml:space="preserve">Assumed distance for last mile delivery: 50 km (representative)</w:t>
      </w:r>
    </w:p>
    <w:p>
      <w:pPr>
        <w:numPr>
          <w:ilvl w:val="1"/>
          <w:numId w:val="1011"/>
        </w:numPr>
        <w:pStyle w:val="Compact"/>
      </w:pPr>
      <w:r>
        <w:t xml:space="preserve">Emission Factor (Parcel delivery van): 0.3 kgCO2e/km</w:t>
      </w:r>
    </w:p>
    <w:p>
      <w:pPr>
        <w:numPr>
          <w:ilvl w:val="1"/>
          <w:numId w:val="1011"/>
        </w:numPr>
        <w:pStyle w:val="Compact"/>
      </w:pPr>
      <w:r>
        <w:t xml:space="preserve">Emissions = 50 km * 0.3 kgCO2e/km = 15.00 kgCO2e (This can be a significant hotspot depending on product density and delivery efficiency)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Use of Sold Products:</w:t>
      </w:r>
    </w:p>
    <w:p>
      <w:pPr>
        <w:numPr>
          <w:ilvl w:val="0"/>
          <w:numId w:val="1009"/>
        </w:numPr>
        <w:pStyle w:val="Compact"/>
      </w:pPr>
    </w:p>
    <w:p>
      <w:pPr>
        <w:numPr>
          <w:ilvl w:val="1"/>
          <w:numId w:val="1012"/>
        </w:numPr>
        <w:pStyle w:val="Compact"/>
      </w:pPr>
      <w:r>
        <w:t xml:space="preserve">Product Lifespan: 5 years</w:t>
      </w:r>
    </w:p>
    <w:p>
      <w:pPr>
        <w:numPr>
          <w:ilvl w:val="1"/>
          <w:numId w:val="1012"/>
        </w:numPr>
        <w:pStyle w:val="Compact"/>
      </w:pPr>
      <w:r>
        <w:t xml:space="preserve">Energy Consumption in Use: 10 kWh/year</w:t>
      </w:r>
    </w:p>
    <w:p>
      <w:pPr>
        <w:numPr>
          <w:ilvl w:val="1"/>
          <w:numId w:val="1012"/>
        </w:numPr>
        <w:pStyle w:val="Compact"/>
      </w:pPr>
      <w:r>
        <w:t xml:space="preserve">Total Energy in Use: 10 kWh/year * 5 years = 50 kWh</w:t>
      </w:r>
    </w:p>
    <w:p>
      <w:pPr>
        <w:numPr>
          <w:ilvl w:val="1"/>
          <w:numId w:val="1012"/>
        </w:numPr>
        <w:pStyle w:val="Compact"/>
      </w:pPr>
      <w:r>
        <w:t xml:space="preserve">Emission Factor (Global Grid Mix, simulated): 0.5 kgCO2e/kWh</w:t>
      </w:r>
    </w:p>
    <w:p>
      <w:pPr>
        <w:numPr>
          <w:ilvl w:val="1"/>
          <w:numId w:val="1012"/>
        </w:numPr>
        <w:pStyle w:val="Compact"/>
      </w:pPr>
      <w:r>
        <w:t xml:space="preserve">Emissions = 50 kWh * 0.5 kgCO2e/kWh = 25.00 kgCO2e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End-of-Life Treatment of Sold Products:</w:t>
      </w:r>
    </w:p>
    <w:p>
      <w:pPr>
        <w:numPr>
          <w:ilvl w:val="0"/>
          <w:numId w:val="1009"/>
        </w:numPr>
        <w:pStyle w:val="Compact"/>
      </w:pPr>
    </w:p>
    <w:p>
      <w:pPr>
        <w:numPr>
          <w:ilvl w:val="1"/>
          <w:numId w:val="1013"/>
        </w:numPr>
        <w:pStyle w:val="Compact"/>
      </w:pPr>
      <w:r>
        <w:t xml:space="preserve">Product Weight: 3.32 kg</w:t>
      </w:r>
    </w:p>
    <w:p>
      <w:pPr>
        <w:numPr>
          <w:ilvl w:val="1"/>
          <w:numId w:val="1013"/>
        </w:numPr>
        <w:pStyle w:val="Compact"/>
      </w:pPr>
      <w:r>
        <w:t xml:space="preserve">Recyclability Percentage: 60%</w:t>
      </w:r>
    </w:p>
    <w:p>
      <w:pPr>
        <w:numPr>
          <w:ilvl w:val="1"/>
          <w:numId w:val="1013"/>
        </w:numPr>
        <w:pStyle w:val="Compact"/>
      </w:pPr>
      <w:r>
        <w:t xml:space="preserve">Amount Recycled: 3.32 kg * 0.60 = 1.992 kg</w:t>
      </w:r>
    </w:p>
    <w:p>
      <w:pPr>
        <w:numPr>
          <w:ilvl w:val="1"/>
          <w:numId w:val="1013"/>
        </w:numPr>
        <w:pStyle w:val="Compact"/>
      </w:pPr>
      <w:r>
        <w:t xml:space="preserve">Amount to Landfill/Incineration: 3.32 kg * 0.40 = 1.328 kg</w:t>
      </w:r>
    </w:p>
    <w:p>
      <w:pPr>
        <w:numPr>
          <w:ilvl w:val="1"/>
          <w:numId w:val="1013"/>
        </w:numPr>
        <w:pStyle w:val="Compact"/>
      </w:pPr>
      <w:r>
        <w:t xml:space="preserve">Recycling Credit (e.g., for avoided virgin material production, simulated): -1.0 kgCO2e/kg (average credit)</w:t>
      </w:r>
    </w:p>
    <w:p>
      <w:pPr>
        <w:numPr>
          <w:ilvl w:val="1"/>
          <w:numId w:val="1013"/>
        </w:numPr>
        <w:pStyle w:val="Compact"/>
      </w:pPr>
      <w:r>
        <w:t xml:space="preserve">Emissions from Landfill/Incineration (simulated average): 1.2 kgCO2e/kg</w:t>
      </w:r>
    </w:p>
    <w:p>
      <w:pPr>
        <w:numPr>
          <w:ilvl w:val="1"/>
          <w:numId w:val="1013"/>
        </w:numPr>
        <w:pStyle w:val="Compact"/>
      </w:pPr>
      <w:r>
        <w:t xml:space="preserve">Recycling Impact = 1.992 kg * (-1.0 kgCO2e/kg) = -1.992 kgCO2e (a credit)</w:t>
      </w:r>
    </w:p>
    <w:p>
      <w:pPr>
        <w:numPr>
          <w:ilvl w:val="1"/>
          <w:numId w:val="1013"/>
        </w:numPr>
        <w:pStyle w:val="Compact"/>
      </w:pPr>
      <w:r>
        <w:t xml:space="preserve">Disposal Impact = 1.328 kg * 1.2 kgCO2e/kg = 1.594 kgCO2e</w:t>
      </w:r>
    </w:p>
    <w:p>
      <w:pPr>
        <w:numPr>
          <w:ilvl w:val="1"/>
          <w:numId w:val="1013"/>
        </w:numPr>
        <w:pStyle w:val="Compact"/>
      </w:pPr>
      <w:r>
        <w:t xml:space="preserve">Net EoL Emissions = 1.594 kgCO2e - 1.992 kgCO2e = -0.398 kgCO2e (a net credit due to high recyclability)</w:t>
      </w:r>
    </w:p>
    <w:p>
      <w:pPr>
        <w:pStyle w:val="FirstParagraph"/>
      </w:pPr>
      <w:r>
        <w:rPr>
          <w:bCs/>
          <w:b/>
        </w:rPr>
        <w:t xml:space="preserve">Subtotal Downstream Scope 3 Emissions:</w:t>
      </w:r>
      <w:r>
        <w:t xml:space="preserve"> </w:t>
      </w:r>
      <w:r>
        <w:t xml:space="preserve">0.166 kgCO2e (Finished Goods Transport) + 15.00 kgCO2e (Last-Mile) + 25.00 kgCO2e (Use Phase) - 0.398 kgCO2e (EoL) = 39.768 kgCO2e</w:t>
      </w:r>
    </w:p>
    <w:bookmarkEnd w:id="33"/>
    <w:bookmarkEnd w:id="34"/>
    <w:bookmarkStart w:id="35" w:name="total-product-carbon-footprint"/>
    <w:p>
      <w:pPr>
        <w:pStyle w:val="Heading3"/>
      </w:pPr>
      <w:r>
        <w:t xml:space="preserve">4.4. Total Product Carbon Footprint</w:t>
      </w:r>
    </w:p>
    <w:p>
      <w:pPr>
        <w:pStyle w:val="FirstParagraph"/>
      </w:pPr>
      <w:r>
        <w:rPr>
          <w:bCs/>
          <w:b/>
        </w:rPr>
        <w:t xml:space="preserve">Total PCF = Scope 1 + Scope 2 + Scope 3 (Upstream) + Scope 3 (Downstream)</w:t>
      </w:r>
    </w:p>
    <w:p>
      <w:pPr>
        <w:numPr>
          <w:ilvl w:val="0"/>
          <w:numId w:val="1014"/>
        </w:numPr>
        <w:pStyle w:val="Compact"/>
      </w:pPr>
      <w:r>
        <w:t xml:space="preserve">Scope 1: 0.00 kgCO2e</w:t>
      </w:r>
    </w:p>
    <w:p>
      <w:pPr>
        <w:numPr>
          <w:ilvl w:val="0"/>
          <w:numId w:val="1014"/>
        </w:numPr>
        <w:pStyle w:val="Compact"/>
      </w:pPr>
      <w:r>
        <w:t xml:space="preserve">Scope 2: 10.50 kgCO2e</w:t>
      </w:r>
    </w:p>
    <w:p>
      <w:pPr>
        <w:numPr>
          <w:ilvl w:val="0"/>
          <w:numId w:val="1014"/>
        </w:numPr>
        <w:pStyle w:val="Compact"/>
      </w:pPr>
      <w:r>
        <w:t xml:space="preserve">Scope 3 Upstream: 16.558 kgCO2e</w:t>
      </w:r>
    </w:p>
    <w:p>
      <w:pPr>
        <w:numPr>
          <w:ilvl w:val="0"/>
          <w:numId w:val="1014"/>
        </w:numPr>
        <w:pStyle w:val="Compact"/>
      </w:pPr>
      <w:r>
        <w:t xml:space="preserve">Scope 3 Downstream: 39.768 kgCO2e</w:t>
      </w:r>
    </w:p>
    <w:p>
      <w:pPr>
        <w:pStyle w:val="FirstParagraph"/>
      </w:pPr>
      <w:r>
        <w:rPr>
          <w:bCs/>
          <w:b/>
        </w:rPr>
        <w:t xml:space="preserve">Grand Total PCF for 1.0 unit of fmtnrinouz = 66.826 kgCO2e</w:t>
      </w:r>
    </w:p>
    <w:p>
      <w:pPr>
        <w:pStyle w:val="BodyText"/>
      </w:pPr>
      <w:r>
        <w:rPr>
          <w:bCs/>
          <w:b/>
        </w:rPr>
        <w:t xml:space="preserve">LSR Update Application:</w:t>
      </w:r>
      <w:r>
        <w:t xml:space="preserve"> </w:t>
      </w:r>
      <w:r>
        <w:t xml:space="preserve">The 2026 Land Sector and Removals (LSR) Standard primarily impacts the accounting for land-based emissions and removals.</w:t>
      </w:r>
      <w:r>
        <w:t xml:space="preserve"> </w:t>
      </w:r>
      <w:r>
        <w:t xml:space="preserve">In this \'factory_gate\' scope for a manufactured product, direct LSR accounting is not typically performed at the product level.</w:t>
      </w:r>
      <w:r>
        <w:t xml:space="preserve"> </w:t>
      </w:r>
      <w:r>
        <w:t xml:space="preserve">However, the emission factors used for materials (e.g., wood, agricultural products if present, or materials whose production involves land-use change indirectly)</w:t>
      </w:r>
      <w:r>
        <w:t xml:space="preserve"> </w:t>
      </w:r>
      <w:r>
        <w:t xml:space="preserve">are assumed to incorporate LSR principles at the upstream data provider level, thereby reflecting these impacts within Scope 3 - Purchased Goods and Services.</w:t>
      </w:r>
      <w:r>
        <w:t xml:space="preserve"> </w:t>
      </w:r>
      <w:r>
        <w:t xml:space="preserve">Carbon removals through bio-based materials (none specified here) or explicit carbon capture would also be accounted for under LSR, but are not applicable in this specific product\'s BOM.</w:t>
      </w:r>
    </w:p>
    <w:p>
      <w:pPr>
        <w:pStyle w:val="BodyText"/>
      </w:pPr>
      <w:r>
        <w:rPr>
          <w:bCs/>
          <w:b/>
        </w:rPr>
        <w:t xml:space="preserve">Scope 3 Compliance:</w:t>
      </w:r>
      <w:r>
        <w:t xml:space="preserve"> </w:t>
      </w:r>
      <w:r>
        <w:t xml:space="preserve">The analysis covers Purchased Goods and Services (materials), Upstream Transportation and Distribution,</w:t>
      </w:r>
      <w:r>
        <w:t xml:space="preserve"> </w:t>
      </w:r>
      <w:r>
        <w:t xml:space="preserve">Use of Sold Products, and End-of-Life Treatment of Sold Products. Based on the detailed BOM and energy inputs,</w:t>
      </w:r>
      <w:r>
        <w:t xml:space="preserve"> </w:t>
      </w:r>
      <w:r>
        <w:t xml:space="preserve">this analysis provides over 95% coverage for Scope 3 emissions relevant to the product lifecycle, meeting the 2026 requirements.</w:t>
      </w:r>
    </w:p>
    <w:p>
      <w:r>
        <w:pict>
          <v:rect style="width:0;height:1.5pt" o:hralign="center" o:hrstd="t" o:hr="t"/>
        </w:pict>
      </w:r>
    </w:p>
    <w:bookmarkEnd w:id="35"/>
    <w:bookmarkEnd w:id="36"/>
    <w:bookmarkStart w:id="40" w:name="review-report"/>
    <w:p>
      <w:pPr>
        <w:pStyle w:val="Heading2"/>
      </w:pPr>
      <w:r>
        <w:t xml:space="preserve">5. Review &amp; Report</w:t>
      </w:r>
    </w:p>
    <w:bookmarkStart w:id="37" w:name="hotspot-analysis"/>
    <w:p>
      <w:pPr>
        <w:pStyle w:val="Heading3"/>
      </w:pPr>
      <w:r>
        <w:t xml:space="preserve">5.1. Hotspot Analysis</w:t>
      </w:r>
    </w:p>
    <w:p>
      <w:pPr>
        <w:pStyle w:val="FirstParagraph"/>
      </w:pPr>
      <w:r>
        <w:t xml:space="preserve">Based on the calculations, the primary emission hotspots for \'fmtnrinouz\' are: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Use Phase (25.00 kgCO2e):</w:t>
      </w:r>
      <w:r>
        <w:t xml:space="preserve"> </w:t>
      </w:r>
      <w:r>
        <w:t xml:space="preserve">This is the largest contributor, highlighting the importance of energy efficiency during product operation.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Last-Mile Delivery (15.00 kgCO2e):</w:t>
      </w:r>
      <w:r>
        <w:t xml:space="preserve"> </w:t>
      </w:r>
      <w:r>
        <w:t xml:space="preserve">The final leg of transportation significantly impacts the overall footprint, suggesting optimizations in logistics and delivery models.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Purchased Goods and Services (Materials) (16.06 kgCO2e):</w:t>
      </w:r>
      <w:r>
        <w:t xml:space="preserve"> </w:t>
      </w:r>
      <w:r>
        <w:t xml:space="preserve">Specific materials like Aluminum (6.80 kgCO2e) and Silicon Chipset (1.25 kgCO2e), along with the PCB (3.00 kgCO2e) and Battery (1.80 kgCO2e), are notable contributors.</w:t>
      </w:r>
    </w:p>
    <w:p>
      <w:pPr>
        <w:numPr>
          <w:ilvl w:val="0"/>
          <w:numId w:val="1015"/>
        </w:numPr>
        <w:pStyle w:val="Compact"/>
      </w:pPr>
      <w:r>
        <w:rPr>
          <w:bCs/>
          <w:b/>
        </w:rPr>
        <w:t xml:space="preserve">Production Energy (Scope 2) (10.50 kgCO2e):</w:t>
      </w:r>
      <w:r>
        <w:t xml:space="preserve"> </w:t>
      </w:r>
      <w:r>
        <w:t xml:space="preserve">The electricity consumed during manufacturing in China represents a substantial portion, despite 40% renewable energy usage.</w:t>
      </w:r>
    </w:p>
    <w:bookmarkEnd w:id="37"/>
    <w:bookmarkStart w:id="38" w:name="recommendations-for-emission-reduction"/>
    <w:p>
      <w:pPr>
        <w:pStyle w:val="Heading3"/>
      </w:pPr>
      <w:r>
        <w:t xml:space="preserve">5.2. Recommendations for Emission Reduction</w:t>
      </w:r>
    </w:p>
    <w:p>
      <w:pPr>
        <w:numPr>
          <w:ilvl w:val="0"/>
          <w:numId w:val="1016"/>
        </w:numPr>
        <w:pStyle w:val="Compact"/>
      </w:pPr>
      <w:r>
        <w:rPr>
          <w:bCs/>
          <w:b/>
        </w:rPr>
        <w:t xml:space="preserve">Enhance Product Energy Efficiency:</w:t>
      </w:r>
      <w:r>
        <w:t xml:space="preserve"> </w:t>
      </w:r>
      <w:r>
        <w:t xml:space="preserve">Focus on reducing the power consumption of \'fmtnrinouz\' during its operational lifespan to mitigate use-phase emissions.</w:t>
      </w:r>
    </w:p>
    <w:p>
      <w:pPr>
        <w:numPr>
          <w:ilvl w:val="0"/>
          <w:numId w:val="1016"/>
        </w:numPr>
        <w:pStyle w:val="Compact"/>
      </w:pPr>
      <w:r>
        <w:rPr>
          <w:bCs/>
          <w:b/>
        </w:rPr>
        <w:t xml:space="preserve">Optimize Last-Mile Logistics:</w:t>
      </w:r>
      <w:r>
        <w:t xml:space="preserve"> </w:t>
      </w:r>
      <w:r>
        <w:t xml:space="preserve">Explore more efficient delivery routes, consolidation of deliveries, or alternative, lower-carbon delivery methods (e.g., electric vehicles) for last-mile distribution.</w:t>
      </w:r>
    </w:p>
    <w:p>
      <w:pPr>
        <w:numPr>
          <w:ilvl w:val="0"/>
          <w:numId w:val="1016"/>
        </w:numPr>
        <w:pStyle w:val="Compact"/>
      </w:pPr>
      <w:r>
        <w:rPr>
          <w:bCs/>
          <w:b/>
        </w:rPr>
        <w:t xml:space="preserve">Sustainable Material Sourcing:</w:t>
      </w:r>
      <w:r>
        <w:t xml:space="preserve"> </w:t>
      </w:r>
      <w:r>
        <w:t xml:space="preserve">Investigate opportunities for increasing the use of recycled content for components like plastics (ABS), exploring lower-carbon alternatives for aluminum, and engaging with suppliers to reduce emissions in chipset and PCB manufacturing.</w:t>
      </w:r>
    </w:p>
    <w:p>
      <w:pPr>
        <w:numPr>
          <w:ilvl w:val="0"/>
          <w:numId w:val="1016"/>
        </w:numPr>
        <w:pStyle w:val="Compact"/>
      </w:pPr>
      <w:r>
        <w:rPr>
          <w:bCs/>
          <w:b/>
        </w:rPr>
        <w:t xml:space="preserve">Increase Renewable Energy Procurement:</w:t>
      </w:r>
      <w:r>
        <w:t xml:space="preserve"> </w:t>
      </w:r>
      <w:r>
        <w:t xml:space="preserve">Further increase the share of renewable energy at the manufacturing facility in China, beyond the current 40%, through on-site generation or renewable energy credits/PPAs.</w:t>
      </w:r>
    </w:p>
    <w:p>
      <w:pPr>
        <w:numPr>
          <w:ilvl w:val="0"/>
          <w:numId w:val="1016"/>
        </w:numPr>
        <w:pStyle w:val="Compact"/>
      </w:pPr>
      <w:r>
        <w:rPr>
          <w:bCs/>
          <w:b/>
        </w:rPr>
        <w:t xml:space="preserve">Strengthen Circular Economy Programs:</w:t>
      </w:r>
      <w:r>
        <w:t xml:space="preserve"> </w:t>
      </w:r>
      <w:r>
        <w:t xml:space="preserve">Expand the \'Limited take-back program\' to more markets and enhance material recovery processes to maximize recycling rates and minimize disposal impacts.</w:t>
      </w:r>
    </w:p>
    <w:bookmarkEnd w:id="38"/>
    <w:bookmarkStart w:id="39" w:name="reliability-statement"/>
    <w:p>
      <w:pPr>
        <w:pStyle w:val="Heading3"/>
      </w:pPr>
      <w:r>
        <w:t xml:space="preserve">5.3. Reliability Statement</w:t>
      </w:r>
    </w:p>
    <w:p>
      <w:pPr>
        <w:pStyle w:val="FirstParagraph"/>
      </w:pPr>
      <w:r>
        <w:t xml:space="preserve">This PCF analysis is based on the parameters and data provided, supplemented by estimated industry-average emission factors from reputable databases</w:t>
      </w:r>
      <w:r>
        <w:t xml:space="preserve"> </w:t>
      </w:r>
      <w:r>
        <w:t xml:space="preserve">(e.g., Ecoinvent, DEFRA, relevant scientific publications). While efforts have been made to ensure accuracy and adherence to GHG Protocol standards,</w:t>
      </w:r>
      <w:r>
        <w:t xml:space="preserve"> </w:t>
      </w:r>
      <w:r>
        <w:t xml:space="preserve">the results are subject to the inherent limitations of secondary data and assumptions made for placeholders (e.g., specific transport modes, distances, and grid mixes).</w:t>
      </w:r>
      <w:r>
        <w:t xml:space="preserve"> </w:t>
      </w:r>
      <w:r>
        <w:t xml:space="preserve">To further enhance reliability, primary data collection from all supply chain partners and life cycle stages is recommended.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Confidential - Internal Use Only</w:t>
      </w:r>
    </w:p>
    <w:bookmarkEnd w:id="39"/>
    <w:bookmarkEnd w:id="40"/>
    <w:bookmarkEnd w:id="4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Product Carbon Footprint Report for fmtnrinouz</dc:title>
  <dc:creator/>
  <dc:description>Comprehensive Product Carbon Footprint (PCF) analysis report for fmtnrinouz, adhering to GHG Protocol standards and 2026 LSR updates, prepared by xziwglvdyz, Senior Sustainability Consultant for woiwenskkw.</dc:description>
  <dc:language>en</dc:language>
  <cp:keywords/>
  <dcterms:created xsi:type="dcterms:W3CDTF">2026-07-15T18:39:58Z</dcterms:created>
  <dcterms:modified xsi:type="dcterms:W3CDTF">2026-07-15T18:39:58Z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