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fmqktejpwh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fmqktejpwh</w:t>
      </w:r>
    </w:p>
    <w:p>
      <w:pPr>
        <w:pStyle w:val="BodyText"/>
      </w:pPr>
      <w:r>
        <w:rPr>
          <w:bCs/>
          <w:b/>
        </w:rPr>
        <w:t xml:space="preserve">Company Name:</w:t>
      </w:r>
      <w:r>
        <w:t xml:space="preserve"> </w:t>
      </w:r>
      <w:r>
        <w:t xml:space="preserve">otljfuiodd</w:t>
      </w:r>
    </w:p>
    <w:p>
      <w:pPr>
        <w:pStyle w:val="BodyText"/>
      </w:pPr>
      <w:r>
        <w:rPr>
          <w:bCs/>
          <w:b/>
        </w:rPr>
        <w:t xml:space="preserve">Senior Sustainability Consultant:</w:t>
      </w:r>
      <w:r>
        <w:t xml:space="preserve"> </w:t>
      </w:r>
      <w:r>
        <w:t xml:space="preserve">hzhdtmlwpn</w:t>
      </w:r>
    </w:p>
    <w:p>
      <w:pPr>
        <w:pStyle w:val="BodyText"/>
      </w:pPr>
      <w:r>
        <w:rPr>
          <w:bCs/>
          <w:b/>
        </w:rPr>
        <w:t xml:space="preserve">Protocol Data (Accounting Standard):</w:t>
      </w:r>
      <w:r>
        <w:t xml:space="preserve"> </w:t>
      </w:r>
      <w:r>
        <w:t xml:space="preserve">GHG Protocol</w:t>
      </w:r>
    </w:p>
    <w:p>
      <w:pPr>
        <w:pStyle w:val="BodyText"/>
      </w:pPr>
      <w:r>
        <w:t xml:space="preserve">Generated Date: May 20, 2026</w:t>
      </w:r>
    </w:p>
    <w:p>
      <w:pPr>
        <w:pStyle w:val="BodyText"/>
      </w:pPr>
      <w:r>
        <w:t xml:space="preserve">Disclaimer: This report is generated based on available data and industry standards, including various publicly accessible emission factors and assumptions detailed within the report. It provides an estimate of the product\'s carbon footprint.</w:t>
      </w:r>
    </w:p>
    <w:bookmarkEnd w:id="20"/>
    <w:bookmarkStart w:id="46" w:name="X1ccfb5e519e2b5ac284f559b280b0ca679d269c"/>
    <w:p>
      <w:pPr>
        <w:pStyle w:val="Heading1"/>
      </w:pPr>
      <w:r>
        <w:t xml:space="preserve">Product Carbon Footprint Analysis Report for fmqktejpwh</w:t>
      </w:r>
    </w:p>
    <w:p>
      <w:pPr>
        <w:pStyle w:val="FirstParagraph"/>
      </w:pPr>
      <w:r>
        <w:t xml:space="preserve">Generated Date: 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"fmqktejpwh" manufactured by otljfuiodd. The analysis was conducted by hzhdtmlwpn, Senior Sustainability Consultant, adhering to the Greenhouse Gas (GHG) Protocol standards, including the 2026 Land Sector and Removals (LSR) Standard updates and stringent Scope 3 coverage requirements. The assessment covers a cradle-to-gate system boundary, extended to include use-phase and end-of-life considerations, providing a comprehensive view of the product\'s environmental impact in terms of carbon dioxide equivalents (CO2e). The analysis identifies key emission hotspots across the product\'s lifecycle, from raw material acquisition and production to transportation, usage, and end-of-life scenarios, offering a foundation for strategic emission reduction efforts.</w:t>
      </w:r>
    </w:p>
    <w:p>
      <w:r>
        <w:pict>
          <v:rect style="width:0;height:1.5pt" o:hralign="center" o:hrstd="t" o:hr="t"/>
        </w:pict>
      </w:r>
    </w:p>
    <w:bookmarkEnd w:id="21"/>
    <w:bookmarkStart w:id="22" w:name="defining-the-scope-of-analysis"/>
    <w:p>
      <w:pPr>
        <w:pStyle w:val="Heading2"/>
      </w:pPr>
      <w:r>
        <w:t xml:space="preserve">1. Defining the Scope of Analysis</w:t>
      </w:r>
    </w:p>
    <w:p>
      <w:pPr>
        <w:pStyle w:val="FirstParagraph"/>
      </w:pPr>
      <w:r>
        <w:t xml:space="preserve">The first step in any robust carbon footprint assessment is to clearly define the scope. This analysis follows the GHG Protocol Product Standard, employing a Life Cycle Assessment (LCA) approach to quantify the total greenhouse gas emissions associated with "fmqktejpwh".</w:t>
      </w:r>
    </w:p>
    <w:p>
      <w:pPr>
        <w:numPr>
          <w:ilvl w:val="0"/>
          <w:numId w:val="1001"/>
        </w:numPr>
        <w:pStyle w:val="Compact"/>
      </w:pPr>
      <w:r>
        <w:rPr>
          <w:bCs/>
          <w:b/>
        </w:rPr>
        <w:t xml:space="preserve">Functional Unit:</w:t>
      </w:r>
      <w:r>
        <w:t xml:space="preserve"> </w:t>
      </w:r>
      <w:r>
        <w:t xml:space="preserve">The functional unit for this PCF is defined as 1.0 unit of "fmqktejpwh". This unit serves as the reference basis for all quantified inputs and outputs.</w:t>
      </w:r>
    </w:p>
    <w:p>
      <w:pPr>
        <w:numPr>
          <w:ilvl w:val="0"/>
          <w:numId w:val="1001"/>
        </w:numPr>
        <w:pStyle w:val="Compact"/>
      </w:pPr>
      <w:r>
        <w:rPr>
          <w:bCs/>
          <w:b/>
        </w:rPr>
        <w:t xml:space="preserve">System Boundary:</w:t>
      </w:r>
      <w:r>
        <w:t xml:space="preserve"> </w:t>
      </w:r>
      <w:r>
        <w:t xml:space="preserve">The analysis adopts a "factory_gate" system boundary for the core production, but extends to a "cradle-to-grave" perspective by incorporating significant upstream (raw materials, transport) and downstream (use-phase, end-of-life) impacts to provide a holistic view.</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materials transport)</w:t>
      </w:r>
    </w:p>
    <w:p>
      <w:pPr>
        <w:numPr>
          <w:ilvl w:val="0"/>
          <w:numId w:val="1001"/>
        </w:numPr>
        <w:pStyle w:val="Compact"/>
      </w:pPr>
      <w:r>
        <w:rPr>
          <w:bCs/>
          <w:b/>
        </w:rPr>
        <w:t xml:space="preserve">Allocation:</w:t>
      </w:r>
      <w:r>
        <w:t xml:space="preserve"> </w:t>
      </w:r>
      <w:r>
        <w:t xml:space="preserve">Emissions are allocated directly to the functional unit (1.0 unit of fmqktejpwh). For shared processes or co-products, standard mass-based allocation methods are applied where relevant, ensuring emissions are proportionally attributed to the product under study.</w:t>
      </w:r>
    </w:p>
    <w:p>
      <w:pPr>
        <w:numPr>
          <w:ilvl w:val="0"/>
          <w:numId w:val="1001"/>
        </w:numPr>
        <w:pStyle w:val="Compact"/>
      </w:pPr>
      <w:r>
        <w:rPr>
          <w:bCs/>
          <w:b/>
        </w:rPr>
        <w:t xml:space="preserve">Accounting Standard:</w:t>
      </w:r>
      <w:r>
        <w:t xml:space="preserve"> </w:t>
      </w:r>
      <w:r>
        <w:t xml:space="preserve">This report explicitly adheres to the GHG Protocol (Corporate Value Chain (Scope 3) Accounting and Reporting Standard and relevant Corporate Standard guidance).</w:t>
      </w:r>
    </w:p>
    <w:p>
      <w:pPr>
        <w:numPr>
          <w:ilvl w:val="0"/>
          <w:numId w:val="1001"/>
        </w:numPr>
        <w:pStyle w:val="Compact"/>
      </w:pPr>
      <w:r>
        <w:rPr>
          <w:bCs/>
          <w:b/>
        </w:rPr>
        <w:t xml:space="preserve">Company Name:</w:t>
      </w:r>
      <w:r>
        <w:t xml:space="preserve"> </w:t>
      </w:r>
      <w:r>
        <w:t xml:space="preserve">otljfuiodd</w:t>
      </w:r>
    </w:p>
    <w:p>
      <w:pPr>
        <w:numPr>
          <w:ilvl w:val="0"/>
          <w:numId w:val="1001"/>
        </w:numPr>
        <w:pStyle w:val="Compact"/>
      </w:pPr>
      <w:r>
        <w:rPr>
          <w:bCs/>
          <w:b/>
        </w:rPr>
        <w:t xml:space="preserve">Senior Sustainability Consultant:</w:t>
      </w:r>
      <w:r>
        <w:t xml:space="preserve"> </w:t>
      </w:r>
      <w:r>
        <w:t xml:space="preserve">hzhdtmlwpn</w:t>
      </w:r>
    </w:p>
    <w:p>
      <w:r>
        <w:pict>
          <v:rect style="width:0;height:1.5pt" o:hralign="center" o:hrstd="t" o:hr="t"/>
        </w:pict>
      </w:r>
    </w:p>
    <w:bookmarkEnd w:id="22"/>
    <w:bookmarkStart w:id="28" w:name="X94ed52e15af39733311b9a4092a5a6af3d29a3b"/>
    <w:p>
      <w:pPr>
        <w:pStyle w:val="Heading2"/>
      </w:pPr>
      <w:r>
        <w:t xml:space="preserve">2. &amp; 3. Mapping the Lifecycle (LCI Inventory Stages) and Data Collection</w:t>
      </w:r>
    </w:p>
    <w:p>
      <w:pPr>
        <w:pStyle w:val="FirstParagraph"/>
      </w:pPr>
      <w:r>
        <w:t xml:space="preserve">This section details the primary and secondary data points collected across the product\'s lifecycle, forming the basis of the Life Cycle Inventory (LCI). For emissions calculations, the formula Activity Data × Emission Factor = CO2e is applied.</w:t>
      </w:r>
    </w:p>
    <w:bookmarkStart w:id="23" w:name="X39335cbc1fb5823610e8e372791e05b4e631a45"/>
    <w:p>
      <w:pPr>
        <w:pStyle w:val="Heading3"/>
      </w:pPr>
      <w:r>
        <w:t xml:space="preserve">Detailed Bill of Materials (BOM) for fmqktejpwh</w:t>
      </w:r>
    </w:p>
    <w:p>
      <w:pPr>
        <w:pStyle w:val="FirstParagraph"/>
      </w:pPr>
      <w:r>
        <w:t xml:space="preserve">The following table presents the Detailed Bill of Materials (BOM) (wqotudmo) provided for "fmqktejpwh". The Emission Factor (EF) for each material is directly used for high-accuracy material impact calculation, as specified by the user.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4"/>
          </w:tcPr>
          <w:p>
            <w:pPr>
              <w:pStyle w:val="Compact"/>
              <w:jc w:val="right"/>
            </w:pPr>
            <w:r>
              <w:t xml:space="preserve">Total Material Mass:</w:t>
            </w:r>
          </w:p>
        </w:tc>
        <w:tc>
          <w:tcPr/>
          <w:p>
            <w:pPr>
              <w:pStyle w:val="Compact"/>
              <w:jc w:val="left"/>
            </w:pPr>
            <w:r>
              <w:t xml:space="preserve">1.15 kg</w:t>
            </w:r>
          </w:p>
        </w:tc>
        <w:tc>
          <w:tcPr/>
          <w:p>
            <w:pPr>
              <w:pStyle w:val="Compact"/>
            </w:pPr>
          </w:p>
        </w:tc>
        <w:tc>
          <w:tcPr/>
          <w:p>
            <w:pPr>
              <w:pStyle w:val="Compact"/>
            </w:pPr>
          </w:p>
        </w:tc>
        <w:tc>
          <w:tcPr/>
          <w:p>
            <w:pPr>
              <w:pStyle w:val="Compact"/>
              <w:jc w:val="left"/>
            </w:pPr>
            <w:r>
              <w:t xml:space="preserve">6.06 kgCO2e</w:t>
            </w:r>
          </w:p>
        </w:tc>
      </w:tr>
    </w:tbl>
    <w:p>
      <w:pPr>
        <w:pStyle w:val="BodyText"/>
      </w:pPr>
      <w:r>
        <w:t xml:space="preserve">Note: The \'Total Carbon\' values in the BOM table above are calculated as \'Qty * Emission Factor\' for consistency and verification within this report. The sum of these \'Total Carbon\' values from the BOM will be used as the primary material impact.</w:t>
      </w:r>
    </w:p>
    <w:bookmarkEnd w:id="23"/>
    <w:bookmarkStart w:id="24" w:name="X09fb743e5bb386b52746ec08ae623b4176706df"/>
    <w:p>
      <w:pPr>
        <w:pStyle w:val="Heading3"/>
      </w:pPr>
      <w:r>
        <w:t xml:space="preserve">Production Phase Inputs (otljfuiodd - China)</w:t>
      </w:r>
    </w:p>
    <w:p>
      <w:pPr>
        <w:numPr>
          <w:ilvl w:val="0"/>
          <w:numId w:val="1003"/>
        </w:numPr>
        <w:pStyle w:val="Compact"/>
      </w:pPr>
      <w:r>
        <w:rPr>
          <w:bCs/>
          <w:b/>
        </w:rPr>
        <w:t xml:space="preserve">Energy Intensity (kWh/unit):</w:t>
      </w:r>
      <w:r>
        <w:t xml:space="preserve"> </w:t>
      </w:r>
      <w:r>
        <w:t xml:space="preserve">fdxqrpnyxk (5.0 kWh/unit)</w:t>
      </w:r>
    </w:p>
    <w:p>
      <w:pPr>
        <w:numPr>
          <w:ilvl w:val="0"/>
          <w:numId w:val="1003"/>
        </w:numPr>
        <w:pStyle w:val="Compact"/>
      </w:pPr>
      <w:r>
        <w:rPr>
          <w:bCs/>
          <w:b/>
        </w:rPr>
        <w:t xml:space="preserve">Renewable Energy Usage (Percentage):</w:t>
      </w:r>
      <w:r>
        <w:t xml:space="preserve"> </w:t>
      </w:r>
      <w:r>
        <w:t xml:space="preserve">nwnuvznwiw (70%)</w:t>
      </w:r>
    </w:p>
    <w:p>
      <w:pPr>
        <w:numPr>
          <w:ilvl w:val="0"/>
          <w:numId w:val="1003"/>
        </w:numPr>
        <w:pStyle w:val="Compact"/>
      </w:pPr>
      <w:r>
        <w:rPr>
          <w:bCs/>
          <w:b/>
        </w:rPr>
        <w:t xml:space="preserve">Non-Renewable Energy Usage:</w:t>
      </w:r>
      <w:r>
        <w:t xml:space="preserve"> </w:t>
      </w:r>
      <w:r>
        <w:t xml:space="preserve">(100% - 70%) = 30%</w:t>
      </w:r>
    </w:p>
    <w:p>
      <w:pPr>
        <w:numPr>
          <w:ilvl w:val="0"/>
          <w:numId w:val="1003"/>
        </w:numPr>
        <w:pStyle w:val="Compact"/>
      </w:pPr>
      <w:r>
        <w:rPr>
          <w:bCs/>
          <w:b/>
        </w:rPr>
        <w:t xml:space="preserve">China Electricity Grid Emission Factor (Illustrative Proxy):</w:t>
      </w:r>
      <w:r>
        <w:t xml:space="preserve"> </w:t>
      </w:r>
      <w:r>
        <w:t xml:space="preserve">0.556 kgCO2e/kWh (for purchased electricity).</w:t>
      </w:r>
    </w:p>
    <w:bookmarkEnd w:id="24"/>
    <w:bookmarkStart w:id="25" w:name="logistics-data"/>
    <w:p>
      <w:pPr>
        <w:pStyle w:val="Heading3"/>
      </w:pPr>
      <w:r>
        <w:t xml:space="preserve">Logistics Data</w:t>
      </w:r>
    </w:p>
    <w:p>
      <w:pPr>
        <w:numPr>
          <w:ilvl w:val="0"/>
          <w:numId w:val="1004"/>
        </w:numPr>
        <w:pStyle w:val="Compact"/>
      </w:pPr>
      <w:r>
        <w:rPr>
          <w:bCs/>
          <w:b/>
        </w:rPr>
        <w:t xml:space="preserve">Total Product Mass for Transport:</w:t>
      </w:r>
      <w:r>
        <w:t xml:space="preserve"> </w:t>
      </w:r>
      <w:r>
        <w:t xml:space="preserve">1.15 kg (from BOM total material mass)</w:t>
      </w:r>
    </w:p>
    <w:p>
      <w:pPr>
        <w:numPr>
          <w:ilvl w:val="0"/>
          <w:numId w:val="1004"/>
        </w:numPr>
        <w:pStyle w:val="Compact"/>
      </w:pPr>
      <w:r>
        <w:rPr>
          <w:bCs/>
          <w:b/>
        </w:rPr>
        <w:t xml:space="preserve">Upstream Transport (Raw Materials from Europe to China factory):</w:t>
      </w:r>
    </w:p>
    <w:p>
      <w:pPr>
        <w:numPr>
          <w:ilvl w:val="1"/>
          <w:numId w:val="1005"/>
        </w:numPr>
        <w:pStyle w:val="Compact"/>
      </w:pPr>
      <w:r>
        <w:rPr>
          <w:bCs/>
          <w:b/>
        </w:rPr>
        <w:t xml:space="preserve">Transport Mode:</w:t>
      </w:r>
      <w:r>
        <w:t xml:space="preserve"> </w:t>
      </w:r>
      <w:r>
        <w:t xml:space="preserve">Select Mode (Assumed: Ocean Freight, Container Ship)</w:t>
      </w:r>
    </w:p>
    <w:p>
      <w:pPr>
        <w:numPr>
          <w:ilvl w:val="1"/>
          <w:numId w:val="1005"/>
        </w:numPr>
        <w:pStyle w:val="Compact"/>
      </w:pPr>
      <w:r>
        <w:rPr>
          <w:bCs/>
          <w:b/>
        </w:rPr>
        <w:t xml:space="preserve">Transport Distance:</w:t>
      </w:r>
      <w:r>
        <w:t xml:space="preserve"> </w:t>
      </w:r>
      <w:r>
        <w:t xml:space="preserve">sothxqkdeq (Assumed: 10,000 km)</w:t>
      </w:r>
    </w:p>
    <w:p>
      <w:pPr>
        <w:numPr>
          <w:ilvl w:val="1"/>
          <w:numId w:val="1005"/>
        </w:numPr>
        <w:pStyle w:val="Compact"/>
      </w:pPr>
      <w:r>
        <w:rPr>
          <w:bCs/>
          <w:b/>
        </w:rPr>
        <w:t xml:space="preserve">Ocean Freight Emission Factor (Illustrative Proxy):</w:t>
      </w:r>
      <w:r>
        <w:t xml:space="preserve"> </w:t>
      </w:r>
      <w:r>
        <w:t xml:space="preserve">0.016 kgCO2e/tonne-km.</w:t>
      </w:r>
    </w:p>
    <w:p>
      <w:pPr>
        <w:numPr>
          <w:ilvl w:val="0"/>
          <w:numId w:val="1004"/>
        </w:numPr>
        <w:pStyle w:val="Compact"/>
      </w:pPr>
      <w:r>
        <w:rPr>
          <w:bCs/>
          <w:b/>
        </w:rPr>
        <w:t xml:space="preserve">Downstream Transport (Finished Product from China factory to Customer):</w:t>
      </w:r>
    </w:p>
    <w:p>
      <w:pPr>
        <w:numPr>
          <w:ilvl w:val="1"/>
          <w:numId w:val="1006"/>
        </w:numPr>
        <w:pStyle w:val="Compact"/>
      </w:pPr>
      <w:r>
        <w:rPr>
          <w:bCs/>
          <w:b/>
        </w:rPr>
        <w:t xml:space="preserve">Last-Mile Delivery Channel:</w:t>
      </w:r>
      <w:r>
        <w:t xml:space="preserve"> </w:t>
      </w:r>
      <w:r>
        <w:t xml:space="preserve">Delivery Type (Assumed: Road Freight, Heavy Truck)</w:t>
      </w:r>
    </w:p>
    <w:p>
      <w:pPr>
        <w:numPr>
          <w:ilvl w:val="1"/>
          <w:numId w:val="1006"/>
        </w:numPr>
        <w:pStyle w:val="Compact"/>
      </w:pPr>
      <w:r>
        <w:rPr>
          <w:bCs/>
          <w:b/>
        </w:rPr>
        <w:t xml:space="preserve">Last-Mile Delivery Distance (Illustrative Proxy):</w:t>
      </w:r>
      <w:r>
        <w:t xml:space="preserve"> </w:t>
      </w:r>
      <w:r>
        <w:t xml:space="preserve">500 km</w:t>
      </w:r>
    </w:p>
    <w:p>
      <w:pPr>
        <w:numPr>
          <w:ilvl w:val="1"/>
          <w:numId w:val="1006"/>
        </w:numPr>
        <w:pStyle w:val="Compact"/>
      </w:pPr>
      <w:r>
        <w:rPr>
          <w:bCs/>
          <w:b/>
        </w:rPr>
        <w:t xml:space="preserve">Road Freight Emission Factor (Illustrative Proxy):</w:t>
      </w:r>
      <w:r>
        <w:t xml:space="preserve"> </w:t>
      </w:r>
      <w:r>
        <w:t xml:space="preserve">0.08 kgCO2e/tonne-km.</w:t>
      </w:r>
    </w:p>
    <w:bookmarkEnd w:id="25"/>
    <w:bookmarkStart w:id="26" w:name="use-phase-data"/>
    <w:p>
      <w:pPr>
        <w:pStyle w:val="Heading3"/>
      </w:pPr>
      <w:r>
        <w:t xml:space="preserve">Use Phase Data</w:t>
      </w:r>
    </w:p>
    <w:p>
      <w:pPr>
        <w:numPr>
          <w:ilvl w:val="0"/>
          <w:numId w:val="1007"/>
        </w:numPr>
        <w:pStyle w:val="Compact"/>
      </w:pPr>
      <w:r>
        <w:rPr>
          <w:bCs/>
          <w:b/>
        </w:rPr>
        <w:t xml:space="preserve">Product Lifespan:</w:t>
      </w:r>
      <w:r>
        <w:t xml:space="preserve"> </w:t>
      </w:r>
      <w:r>
        <w:t xml:space="preserve">xrxgthkvdj (5 years)</w:t>
      </w:r>
    </w:p>
    <w:p>
      <w:pPr>
        <w:numPr>
          <w:ilvl w:val="0"/>
          <w:numId w:val="1007"/>
        </w:numPr>
        <w:pStyle w:val="Compact"/>
      </w:pPr>
      <w:r>
        <w:rPr>
          <w:bCs/>
          <w:b/>
        </w:rPr>
        <w:t xml:space="preserve">Energy Consumption in Use:</w:t>
      </w:r>
      <w:r>
        <w:t xml:space="preserve"> </w:t>
      </w:r>
      <w:r>
        <w:t xml:space="preserve">xkzgfkoynh (10 kWh/year)</w:t>
      </w:r>
    </w:p>
    <w:p>
      <w:pPr>
        <w:numPr>
          <w:ilvl w:val="0"/>
          <w:numId w:val="1007"/>
        </w:numPr>
        <w:pStyle w:val="Compact"/>
      </w:pPr>
      <w:r>
        <w:rPr>
          <w:bCs/>
          <w:b/>
        </w:rPr>
        <w:t xml:space="preserve">Electricity Grid Emission Factor for Use Phase (Illustrative Proxy, Average Global):</w:t>
      </w:r>
      <w:r>
        <w:t xml:space="preserve"> </w:t>
      </w:r>
      <w:r>
        <w:t xml:space="preserve">0.5 kgCO2e/kWh (Assumed for end-user location, as specific region not defined for use phase).</w:t>
      </w:r>
    </w:p>
    <w:bookmarkEnd w:id="26"/>
    <w:bookmarkStart w:id="27" w:name="end-of-life-eol-scenarios"/>
    <w:p>
      <w:pPr>
        <w:pStyle w:val="Heading3"/>
      </w:pPr>
      <w:r>
        <w:t xml:space="preserve">End-of-Life (EoL) Scenarios</w:t>
      </w:r>
    </w:p>
    <w:p>
      <w:pPr>
        <w:numPr>
          <w:ilvl w:val="0"/>
          <w:numId w:val="1008"/>
        </w:numPr>
        <w:pStyle w:val="Compact"/>
      </w:pPr>
      <w:r>
        <w:rPr>
          <w:bCs/>
          <w:b/>
        </w:rPr>
        <w:t xml:space="preserve">Recyclability Percentage:</w:t>
      </w:r>
      <w:r>
        <w:t xml:space="preserve"> </w:t>
      </w:r>
      <w:r>
        <w:t xml:space="preserve">qvfmkirwsv (80%)</w:t>
      </w:r>
    </w:p>
    <w:p>
      <w:pPr>
        <w:numPr>
          <w:ilvl w:val="0"/>
          <w:numId w:val="1008"/>
        </w:numPr>
        <w:pStyle w:val="Compact"/>
      </w:pPr>
      <w:r>
        <w:rPr>
          <w:bCs/>
          <w:b/>
        </w:rPr>
        <w:t xml:space="preserve">Circular/Take-back Programs:</w:t>
      </w:r>
      <w:r>
        <w:t xml:space="preserve"> </w:t>
      </w:r>
      <w:r>
        <w:t xml:space="preserve">tmpupemqhf (Customer take-back program for material recovery, which supports the recyclability rate)</w:t>
      </w:r>
    </w:p>
    <w:p>
      <w:pPr>
        <w:numPr>
          <w:ilvl w:val="0"/>
          <w:numId w:val="1008"/>
        </w:numPr>
        <w:pStyle w:val="Compact"/>
      </w:pPr>
      <w:r>
        <w:rPr>
          <w:bCs/>
          <w:b/>
        </w:rPr>
        <w:t xml:space="preserve">EoL Disposal Emission Factor (Illustrative Proxy for non-recycled waste):</w:t>
      </w:r>
      <w:r>
        <w:t xml:space="preserve"> </w:t>
      </w:r>
      <w:r>
        <w:t xml:space="preserve">0.5 kgCO2e/kg (for landfill/incineration of mixed waste).</w:t>
      </w:r>
    </w:p>
    <w:p>
      <w:pPr>
        <w:numPr>
          <w:ilvl w:val="0"/>
          <w:numId w:val="1008"/>
        </w:numPr>
        <w:pStyle w:val="Compact"/>
      </w:pPr>
      <w:r>
        <w:rPr>
          <w:bCs/>
          <w:b/>
        </w:rPr>
        <w:t xml:space="preserve">Avoided Emissions for Recycling (Illustrative Proxy, general average):</w:t>
      </w:r>
      <w:r>
        <w:t xml:space="preserve"> </w:t>
      </w:r>
      <w:r>
        <w:t xml:space="preserve">1.0 kgCO2e/kg of recycled material (representing avoided virgin material production).</w:t>
      </w:r>
    </w:p>
    <w:p>
      <w:r>
        <w:pict>
          <v:rect style="width:0;height:1.5pt" o:hralign="center" o:hrstd="t" o:hr="t"/>
        </w:pict>
      </w:r>
    </w:p>
    <w:bookmarkEnd w:id="27"/>
    <w:bookmarkEnd w:id="28"/>
    <w:bookmarkStart w:id="41" w:name="emission-calculation-and-categorization"/>
    <w:p>
      <w:pPr>
        <w:pStyle w:val="Heading2"/>
      </w:pPr>
      <w:r>
        <w:t xml:space="preserve">4. Emission Calculation and Categorization</w:t>
      </w:r>
    </w:p>
    <w:p>
      <w:pPr>
        <w:pStyle w:val="FirstParagraph"/>
      </w:pPr>
      <w:r>
        <w:t xml:space="preserve">Emissions are calculated for each stage of the product lifecycle and categorized according to the GHG Protocol into Scope 1 (direct), Scope 2 (purchased energy), and Scope 3 (value chain).</w:t>
      </w:r>
    </w:p>
    <w:bookmarkStart w:id="39" w:name="calculations"/>
    <w:p>
      <w:pPr>
        <w:pStyle w:val="Heading3"/>
      </w:pPr>
      <w:r>
        <w:t xml:space="preserve">Calculations:</w:t>
      </w:r>
    </w:p>
    <w:bookmarkStart w:id="31" w:name="scope-3-upstream-emissions"/>
    <w:p>
      <w:pPr>
        <w:pStyle w:val="Heading4"/>
      </w:pPr>
      <w:r>
        <w:t xml:space="preserve">1. Scope 3: Upstream Emissions</w:t>
      </w:r>
    </w:p>
    <w:bookmarkStart w:id="29" w:name="Xbb8f6b163a6c542e4d901c85cb4b87c40d949ba"/>
    <w:p>
      <w:pPr>
        <w:pStyle w:val="Heading5"/>
      </w:pPr>
      <w:r>
        <w:t xml:space="preserve">a. Category 1: Purchased Goods &amp; Services (Materials)</w:t>
      </w:r>
    </w:p>
    <w:p>
      <w:pPr>
        <w:pStyle w:val="FirstParagraph"/>
      </w:pPr>
      <w:r>
        <w:t xml:space="preserve">Emissions from the extraction, production, and manufacturing of raw materials for fmqktejpwh.</w:t>
      </w:r>
    </w:p>
    <w:p>
      <w:pPr>
        <w:numPr>
          <w:ilvl w:val="0"/>
          <w:numId w:val="1009"/>
        </w:numPr>
        <w:pStyle w:val="Compact"/>
      </w:pPr>
      <w:r>
        <w:t xml:space="preserve">Total Material Emissions (from BOM): 6.06 kgCO2e</w:t>
      </w:r>
    </w:p>
    <w:p>
      <w:pPr>
        <w:pStyle w:val="FirstParagraph"/>
      </w:pPr>
      <w:r>
        <w:rPr>
          <w:bCs/>
          <w:b/>
        </w:rPr>
        <w:t xml:space="preserve">Total Scope 3 - Materials: 6.06 kgCO2e</w:t>
      </w:r>
    </w:p>
    <w:bookmarkEnd w:id="29"/>
    <w:bookmarkStart w:id="30" w:name="X8049d4e12bf5a73a5a4293c82d7b4d64c423b9f"/>
    <w:p>
      <w:pPr>
        <w:pStyle w:val="Heading5"/>
      </w:pPr>
      <w:r>
        <w:t xml:space="preserve">b. Category 4: Upstream Transportation &amp; Distribution (Raw Materials to Factory)</w:t>
      </w:r>
    </w:p>
    <w:p>
      <w:pPr>
        <w:pStyle w:val="FirstParagraph"/>
      </w:pPr>
      <w:r>
        <w:t xml:space="preserve">This covers the transportation of raw materials from Europe to the factory in China.</w:t>
      </w:r>
    </w:p>
    <w:p>
      <w:pPr>
        <w:numPr>
          <w:ilvl w:val="0"/>
          <w:numId w:val="1010"/>
        </w:numPr>
        <w:pStyle w:val="Compact"/>
      </w:pPr>
      <w:r>
        <w:t xml:space="preserve">Product Mass: 1.15 kg = 0.00115 tonnes</w:t>
      </w:r>
    </w:p>
    <w:p>
      <w:pPr>
        <w:numPr>
          <w:ilvl w:val="0"/>
          <w:numId w:val="1010"/>
        </w:numPr>
        <w:pStyle w:val="Compact"/>
      </w:pPr>
      <w:r>
        <w:t xml:space="preserve">Ocean Freight Distance: 10,000 km</w:t>
      </w:r>
    </w:p>
    <w:p>
      <w:pPr>
        <w:numPr>
          <w:ilvl w:val="0"/>
          <w:numId w:val="1010"/>
        </w:numPr>
        <w:pStyle w:val="Compact"/>
      </w:pPr>
      <w:r>
        <w:t xml:space="preserve">Ocean Freight EF: 0.016 kgCO2e/tonne-km</w:t>
      </w:r>
    </w:p>
    <w:p>
      <w:pPr>
        <w:numPr>
          <w:ilvl w:val="0"/>
          <w:numId w:val="1010"/>
        </w:numPr>
        <w:pStyle w:val="Compact"/>
      </w:pPr>
      <w:r>
        <w:t xml:space="preserve">Calculation: 0.00115 tonnes * 10,000 km * 0.016 kgCO2e/tonne-km = 0.184 kgCO2e</w:t>
      </w:r>
    </w:p>
    <w:p>
      <w:pPr>
        <w:pStyle w:val="FirstParagraph"/>
      </w:pPr>
      <w:r>
        <w:rPr>
          <w:bCs/>
          <w:b/>
        </w:rPr>
        <w:t xml:space="preserve">Total Scope 3 - Upstream Transport: 0.184 kgCO2e</w:t>
      </w:r>
    </w:p>
    <w:bookmarkEnd w:id="30"/>
    <w:bookmarkEnd w:id="31"/>
    <w:bookmarkStart w:id="32" w:name="X1634b5035624542e507d0d260e0a6f559fb5ace"/>
    <w:p>
      <w:pPr>
        <w:pStyle w:val="Heading4"/>
      </w:pPr>
      <w:r>
        <w:t xml:space="preserve">2. Scope 2: Energy Indirect Emissions (Purchased Electricity for Production)</w:t>
      </w:r>
    </w:p>
    <w:p>
      <w:pPr>
        <w:pStyle w:val="FirstParagraph"/>
      </w:pPr>
      <w:r>
        <w:t xml:space="preserve">Emissions from electricity purchased by otljfuiodd for manufacturing fmqktejpwh in China.</w:t>
      </w:r>
    </w:p>
    <w:p>
      <w:pPr>
        <w:numPr>
          <w:ilvl w:val="0"/>
          <w:numId w:val="1011"/>
        </w:numPr>
        <w:pStyle w:val="Compact"/>
      </w:pPr>
      <w:r>
        <w:t xml:space="preserve">Energy Intensity: 5.0 kWh/unit</w:t>
      </w:r>
    </w:p>
    <w:p>
      <w:pPr>
        <w:numPr>
          <w:ilvl w:val="0"/>
          <w:numId w:val="1011"/>
        </w:numPr>
        <w:pStyle w:val="Compact"/>
      </w:pPr>
      <w:r>
        <w:t xml:space="preserve">Non-Renewable Energy Usage: 30%</w:t>
      </w:r>
    </w:p>
    <w:p>
      <w:pPr>
        <w:numPr>
          <w:ilvl w:val="0"/>
          <w:numId w:val="1011"/>
        </w:numPr>
        <w:pStyle w:val="Compact"/>
      </w:pPr>
      <w:r>
        <w:t xml:space="preserve">China Grid EF: 0.556 kgCO2e/kWh</w:t>
      </w:r>
    </w:p>
    <w:p>
      <w:pPr>
        <w:numPr>
          <w:ilvl w:val="0"/>
          <w:numId w:val="1011"/>
        </w:numPr>
        <w:pStyle w:val="Compact"/>
      </w:pPr>
      <w:r>
        <w:t xml:space="preserve">Calculation: 5.0 kWh/unit * 0.30 (non-renewable) * 0.556 kgCO2e/kWh = 0.834 kgCO2e</w:t>
      </w:r>
    </w:p>
    <w:p>
      <w:pPr>
        <w:pStyle w:val="FirstParagraph"/>
      </w:pPr>
      <w:r>
        <w:rPr>
          <w:bCs/>
          <w:b/>
        </w:rPr>
        <w:t xml:space="preserve">Total Scope 2 - Production Energy: 0.834 kgCO2e</w:t>
      </w:r>
    </w:p>
    <w:bookmarkEnd w:id="32"/>
    <w:bookmarkStart w:id="33" w:name="scope-1-direct-emissions-from-production"/>
    <w:p>
      <w:pPr>
        <w:pStyle w:val="Heading4"/>
      </w:pPr>
      <w:r>
        <w:t xml:space="preserve">3. Scope 1: Direct Emissions (from Production)</w:t>
      </w:r>
    </w:p>
    <w:p>
      <w:pPr>
        <w:pStyle w:val="FirstParagraph"/>
      </w:pPr>
      <w:r>
        <w:t xml:space="preserve">Direct emissions from sources owned or controlled by otljfuiodd. Based on the "factory_gate" boundary and provided parameters, explicit Scope 1 emissions (e.g., from company-owned vehicles or on-site fuel combustion not covered by energy intensity) are not detailed. It is assumed these are minimal or not explicitly provided in the current data for this PCF. However, if on-site processes involved direct fuel combustion, these would be quantified here.</w:t>
      </w:r>
    </w:p>
    <w:p>
      <w:pPr>
        <w:numPr>
          <w:ilvl w:val="0"/>
          <w:numId w:val="1012"/>
        </w:numPr>
        <w:pStyle w:val="Compact"/>
      </w:pPr>
      <w:r>
        <w:t xml:space="preserve">Assumed: Minimal or not applicable within provided parameters for this product-specific analysis focusing on materials and purchased energy.</w:t>
      </w:r>
    </w:p>
    <w:p>
      <w:pPr>
        <w:pStyle w:val="FirstParagraph"/>
      </w:pPr>
      <w:r>
        <w:rPr>
          <w:bCs/>
          <w:b/>
        </w:rPr>
        <w:t xml:space="preserve">Total Scope 1 - Direct Production: 0.00 kgCO2e (Assumed Minimal/Not Specified)</w:t>
      </w:r>
    </w:p>
    <w:bookmarkEnd w:id="33"/>
    <w:bookmarkStart w:id="37" w:name="scope-3-downstream-emissions"/>
    <w:p>
      <w:pPr>
        <w:pStyle w:val="Heading4"/>
      </w:pPr>
      <w:r>
        <w:t xml:space="preserve">4. Scope 3: Downstream Emissions</w:t>
      </w:r>
    </w:p>
    <w:bookmarkStart w:id="34" w:name="a.-category-11-use-of-sold-products"/>
    <w:p>
      <w:pPr>
        <w:pStyle w:val="Heading5"/>
      </w:pPr>
      <w:r>
        <w:t xml:space="preserve">a. Category 11: Use of Sold Products</w:t>
      </w:r>
    </w:p>
    <w:p>
      <w:pPr>
        <w:pStyle w:val="FirstParagraph"/>
      </w:pPr>
      <w:r>
        <w:t xml:space="preserve">Emissions from the energy consumed during the product\'s use phase by the end-user.</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Total Energy in Use: 10 kWh/year * 5 years = 50 kWh</w:t>
      </w:r>
    </w:p>
    <w:p>
      <w:pPr>
        <w:numPr>
          <w:ilvl w:val="0"/>
          <w:numId w:val="1013"/>
        </w:numPr>
        <w:pStyle w:val="Compact"/>
      </w:pPr>
      <w:r>
        <w:t xml:space="preserve">Assumed Global Average Grid EF for Use Phase: 0.5 kgCO2e/kWh (Illustrative Proxy)</w:t>
      </w:r>
    </w:p>
    <w:p>
      <w:pPr>
        <w:numPr>
          <w:ilvl w:val="0"/>
          <w:numId w:val="1013"/>
        </w:numPr>
        <w:pStyle w:val="Compact"/>
      </w:pPr>
      <w:r>
        <w:t xml:space="preserve">Calculation: 50 kWh * 0.5 kgCO2e/kWh = 25.0 kgCO2e</w:t>
      </w:r>
    </w:p>
    <w:p>
      <w:pPr>
        <w:pStyle w:val="FirstParagraph"/>
      </w:pPr>
      <w:r>
        <w:rPr>
          <w:bCs/>
          <w:b/>
        </w:rPr>
        <w:t xml:space="preserve">Total Scope 3 - Use Phase: 25.0 kgCO2e</w:t>
      </w:r>
    </w:p>
    <w:bookmarkEnd w:id="34"/>
    <w:bookmarkStart w:id="35" w:name="Xa7b0ff2b39e9be255cff9e1ff88babb36c1ff0a"/>
    <w:p>
      <w:pPr>
        <w:pStyle w:val="Heading5"/>
      </w:pPr>
      <w:r>
        <w:t xml:space="preserve">b. Category 9: Downstream Transportation &amp; Distribution (Factory to Customer - Last Mile)</w:t>
      </w:r>
    </w:p>
    <w:p>
      <w:pPr>
        <w:pStyle w:val="FirstParagraph"/>
      </w:pPr>
      <w:r>
        <w:t xml:space="preserve">This covers the last-mile delivery of the finished product to the customer.</w:t>
      </w:r>
    </w:p>
    <w:p>
      <w:pPr>
        <w:numPr>
          <w:ilvl w:val="0"/>
          <w:numId w:val="1014"/>
        </w:numPr>
        <w:pStyle w:val="Compact"/>
      </w:pPr>
      <w:r>
        <w:t xml:space="preserve">Product Mass: 1.15 kg = 0.00115 tonnes</w:t>
      </w:r>
    </w:p>
    <w:p>
      <w:pPr>
        <w:numPr>
          <w:ilvl w:val="0"/>
          <w:numId w:val="1014"/>
        </w:numPr>
        <w:pStyle w:val="Compact"/>
      </w:pPr>
      <w:r>
        <w:t xml:space="preserve">Last-Mile Delivery Distance: 500 km (Illustrative Proxy)</w:t>
      </w:r>
    </w:p>
    <w:p>
      <w:pPr>
        <w:numPr>
          <w:ilvl w:val="0"/>
          <w:numId w:val="1014"/>
        </w:numPr>
        <w:pStyle w:val="Compact"/>
      </w:pPr>
      <w:r>
        <w:t xml:space="preserve">Road Freight EF: 0.08 kgCO2e/tonne-km</w:t>
      </w:r>
    </w:p>
    <w:p>
      <w:pPr>
        <w:numPr>
          <w:ilvl w:val="0"/>
          <w:numId w:val="1014"/>
        </w:numPr>
        <w:pStyle w:val="Compact"/>
      </w:pPr>
      <w:r>
        <w:t xml:space="preserve">Calculation: 0.00115 tonnes * 500 km * 0.08 kgCO2e/tonne-km = 0.046 kgCO2e</w:t>
      </w:r>
    </w:p>
    <w:p>
      <w:pPr>
        <w:pStyle w:val="FirstParagraph"/>
      </w:pPr>
      <w:r>
        <w:rPr>
          <w:bCs/>
          <w:b/>
        </w:rPr>
        <w:t xml:space="preserve">Total Scope 3 - Downstream Transport: 0.046 kgCO2e</w:t>
      </w:r>
    </w:p>
    <w:bookmarkEnd w:id="35"/>
    <w:bookmarkStart w:id="36" w:name="X2bf76198c5135b3882d8c94dafde50f65273027"/>
    <w:p>
      <w:pPr>
        <w:pStyle w:val="Heading5"/>
      </w:pPr>
      <w:r>
        <w:t xml:space="preserve">c. Category 12: End-of-Life Treatment of Sold Products</w:t>
      </w:r>
    </w:p>
    <w:p>
      <w:pPr>
        <w:pStyle w:val="FirstParagraph"/>
      </w:pPr>
      <w:r>
        <w:t xml:space="preserve">Emissions and avoided emissions associated with the product\'s end-of-life.</w:t>
      </w:r>
    </w:p>
    <w:p>
      <w:pPr>
        <w:numPr>
          <w:ilvl w:val="0"/>
          <w:numId w:val="1015"/>
        </w:numPr>
        <w:pStyle w:val="Compact"/>
      </w:pPr>
      <w:r>
        <w:t xml:space="preserve">Total Product Mass: 1.15 kg</w:t>
      </w:r>
    </w:p>
    <w:p>
      <w:pPr>
        <w:numPr>
          <w:ilvl w:val="0"/>
          <w:numId w:val="1015"/>
        </w:numPr>
        <w:pStyle w:val="Compact"/>
      </w:pPr>
      <w:r>
        <w:t xml:space="preserve">Recyclability Percentage: 80%</w:t>
      </w:r>
    </w:p>
    <w:p>
      <w:pPr>
        <w:numPr>
          <w:ilvl w:val="0"/>
          <w:numId w:val="1015"/>
        </w:numPr>
        <w:pStyle w:val="Compact"/>
      </w:pPr>
      <w:r>
        <w:t xml:space="preserve">Non-Recycled Mass: 1.15 kg * (1 - 0.80) = 0.23 kg</w:t>
      </w:r>
    </w:p>
    <w:p>
      <w:pPr>
        <w:numPr>
          <w:ilvl w:val="0"/>
          <w:numId w:val="1015"/>
        </w:numPr>
        <w:pStyle w:val="Compact"/>
      </w:pPr>
      <w:r>
        <w:t xml:space="preserve">Recycled Mass: 1.15 kg * 0.80 = 0.92 kg</w:t>
      </w:r>
    </w:p>
    <w:p>
      <w:pPr>
        <w:numPr>
          <w:ilvl w:val="0"/>
          <w:numId w:val="1015"/>
        </w:numPr>
        <w:pStyle w:val="Compact"/>
      </w:pPr>
      <w:r>
        <w:t xml:space="preserve">Emissions from Disposal (non-recycled): 0.23 kg * 0.5 kgCO2e/kg = 0.115 kgCO2e (Illustrative Proxy)</w:t>
      </w:r>
    </w:p>
    <w:p>
      <w:pPr>
        <w:numPr>
          <w:ilvl w:val="0"/>
          <w:numId w:val="1015"/>
        </w:numPr>
        <w:pStyle w:val="Compact"/>
      </w:pPr>
      <w:r>
        <w:t xml:space="preserve">Avoided Emissions from Recycling (credit for recycled portion replacing virgin material): 0.92 kg * -1.0 kgCO2e/kg = -0.92 kgCO2e (Illustrative Proxy)</w:t>
      </w:r>
    </w:p>
    <w:p>
      <w:pPr>
        <w:pStyle w:val="FirstParagraph"/>
      </w:pPr>
      <w:r>
        <w:rPr>
          <w:bCs/>
          <w:b/>
        </w:rPr>
        <w:t xml:space="preserve">Total Scope 3 - End-of-Life: -0.805 kgCO2e</w:t>
      </w:r>
      <w:r>
        <w:t xml:space="preserve"> </w:t>
      </w:r>
      <w:r>
        <w:t xml:space="preserve">(Net impact, including avoidance)</w:t>
      </w:r>
    </w:p>
    <w:bookmarkEnd w:id="36"/>
    <w:bookmarkEnd w:id="37"/>
    <w:bookmarkStart w:id="38" w:name="X5c2758ded7a91275c4b084cce50e37c29ada1b0"/>
    <w:p>
      <w:pPr>
        <w:pStyle w:val="Heading4"/>
      </w:pPr>
      <w:r>
        <w:t xml:space="preserve">Summary of Emissions by Scope (for one functional unit of fmqktejpwh):</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Direct emissions from owned/controlled sources.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Emissions from purchased electricity for production.</w:t>
            </w:r>
          </w:p>
        </w:tc>
        <w:tc>
          <w:tcPr/>
          <w:p>
            <w:pPr>
              <w:pStyle w:val="Compact"/>
              <w:jc w:val="left"/>
            </w:pPr>
            <w:r>
              <w:t xml:space="preserve">0.834</w:t>
            </w:r>
          </w:p>
        </w:tc>
      </w:tr>
      <w:tr>
        <w:tc>
          <w:tcPr>
            <w:vMerge w:val="restart"/>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Raw material acquisition and production.</w:t>
            </w:r>
          </w:p>
        </w:tc>
        <w:tc>
          <w:tcPr/>
          <w:p>
            <w:pPr>
              <w:pStyle w:val="Compact"/>
              <w:jc w:val="left"/>
            </w:pPr>
            <w:r>
              <w:t xml:space="preserve">6.060</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Transport of raw materials to factory.</w:t>
            </w:r>
          </w:p>
        </w:tc>
        <w:tc>
          <w:tcPr/>
          <w:p>
            <w:pPr>
              <w:pStyle w:val="Compact"/>
              <w:jc w:val="left"/>
            </w:pPr>
            <w:r>
              <w:t xml:space="preserve">0.184</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Transport of finished product to customer (last mile).</w:t>
            </w:r>
          </w:p>
        </w:tc>
        <w:tc>
          <w:tcPr/>
          <w:p>
            <w:pPr>
              <w:pStyle w:val="Compact"/>
              <w:jc w:val="left"/>
            </w:pPr>
            <w:r>
              <w:t xml:space="preserve">0.046</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use.</w:t>
            </w:r>
          </w:p>
        </w:tc>
        <w:tc>
          <w:tcPr/>
          <w:p>
            <w:pPr>
              <w:pStyle w:val="Compact"/>
              <w:jc w:val="left"/>
            </w:pPr>
            <w:r>
              <w:t xml:space="preserve">25.000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Disposal and avoided emissions from recycling.</w:t>
            </w:r>
          </w:p>
        </w:tc>
        <w:tc>
          <w:tcPr/>
          <w:p>
            <w:pPr>
              <w:pStyle w:val="Compact"/>
              <w:jc w:val="left"/>
            </w:pPr>
            <w:r>
              <w:t xml:space="preserve">-0.805</w:t>
            </w:r>
          </w:p>
        </w:tc>
      </w:tr>
      <w:tr>
        <w:tc>
          <w:tcPr>
            <w:gridSpan w:val="3"/>
          </w:tcPr>
          <w:p>
            <w:pPr>
              <w:pStyle w:val="Compact"/>
              <w:jc w:val="right"/>
            </w:pPr>
            <w:r>
              <w:t xml:space="preserve">Total Product Carbon Footprint:</w:t>
            </w:r>
          </w:p>
        </w:tc>
        <w:tc>
          <w:tcPr/>
          <w:p>
            <w:pPr>
              <w:pStyle w:val="Compact"/>
              <w:jc w:val="left"/>
            </w:pPr>
            <w:r>
              <w:t xml:space="preserve">31.319 kgCO2e</w:t>
            </w:r>
          </w:p>
        </w:tc>
      </w:tr>
    </w:tbl>
    <w:bookmarkEnd w:id="38"/>
    <w:bookmarkEnd w:id="39"/>
    <w:bookmarkStart w:id="40" w:name="X39db36958ac3f1b7b6914e15908983dbbc51aad"/>
    <w:p>
      <w:pPr>
        <w:pStyle w:val="Heading3"/>
      </w:pPr>
      <w:r>
        <w:t xml:space="preserve">GHG Protocol 2026 LSR Update &amp; Scope 3 Compliance</w:t>
      </w:r>
    </w:p>
    <w:p>
      <w:pPr>
        <w:numPr>
          <w:ilvl w:val="0"/>
          <w:numId w:val="1016"/>
        </w:numPr>
        <w:pStyle w:val="Compact"/>
      </w:pPr>
      <w:r>
        <w:rPr>
          <w:bCs/>
          <w:b/>
        </w:rPr>
        <w:t xml:space="preserve">2026 LSR Update:</w:t>
      </w:r>
      <w:r>
        <w:t xml:space="preserve"> </w:t>
      </w:r>
      <w:r>
        <w:t xml:space="preserve">The GHG Protocol\'s Land Sector and Removals (LSR) Standard was released on January 30, 2026, and takes effect on January 1, 2027, providing accounting requirements for land-use activities and carbon removals. While this product\'s BOM does not explicitly detail significant land-intensive components (e.g., agricultural products), the framework acknowledges the importance of integrating such considerations where applicable. For products with extensive land-use impacts, a dedicated assessment against the LSR Standard would be crucial. For this analysis, it is assumed that land use change and biogenic emissions related to the materials in the BOM are implicitly covered by their respective emission factors.</w:t>
      </w:r>
    </w:p>
    <w:p>
      <w:pPr>
        <w:numPr>
          <w:ilvl w:val="0"/>
          <w:numId w:val="1016"/>
        </w:numPr>
        <w:pStyle w:val="Compact"/>
      </w:pPr>
      <w:r>
        <w:rPr>
          <w:bCs/>
          <w:b/>
        </w:rPr>
        <w:t xml:space="preserve">Scope 3 Compliance (95% Coverage):</w:t>
      </w:r>
      <w:r>
        <w:t xml:space="preserve"> </w:t>
      </w:r>
      <w:r>
        <w:t xml:space="preserve">As per the 2026 requirements, at least 95% coverage for Scope 3 emissions is mandated. This analysis has strived for comprehensive coverage by including materials (Cat 1), upstream transport (Cat 4), downstream transport (Cat 9), use phase (Cat 11), and end-of-life (Cat 12). Given the detailed data provided for these significant categories, the coverage is deemed robust. Any minor excluded elements (e.g., capital goods, employee commuting) are assumed to be well within the permissible 5% exclusion threshold and are not deemed material to the overall product footprint.</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Emission Hotspots</w:t>
      </w:r>
    </w:p>
    <w:p>
      <w:pPr>
        <w:pStyle w:val="FirstParagraph"/>
      </w:pPr>
      <w:r>
        <w:t xml:space="preserve">The PCF analysis reveals the following key emission hotspots for "fmqktejpwh":</w:t>
      </w:r>
    </w:p>
    <w:p>
      <w:pPr>
        <w:numPr>
          <w:ilvl w:val="0"/>
          <w:numId w:val="1017"/>
        </w:numPr>
        <w:pStyle w:val="Compact"/>
      </w:pPr>
      <w:r>
        <w:rPr>
          <w:bCs/>
          <w:b/>
        </w:rPr>
        <w:t xml:space="preserve">Use Phase (Category 11):</w:t>
      </w:r>
      <w:r>
        <w:t xml:space="preserve"> </w:t>
      </w:r>
      <w:r>
        <w:t xml:space="preserve">At 25.0 kgCO2e, the use phase is the dominant hotspot, representing approximately 79.8% of the total carbon footprint. This is primarily driven by the product\'s energy consumption over its 5-year lifespan.</w:t>
      </w:r>
    </w:p>
    <w:p>
      <w:pPr>
        <w:numPr>
          <w:ilvl w:val="0"/>
          <w:numId w:val="1017"/>
        </w:numPr>
        <w:pStyle w:val="Compact"/>
      </w:pPr>
      <w:r>
        <w:rPr>
          <w:bCs/>
          <w:b/>
        </w:rPr>
        <w:t xml:space="preserve">Purchased Goods &amp; Services (Category 1 - Materials):</w:t>
      </w:r>
      <w:r>
        <w:t xml:space="preserve"> </w:t>
      </w:r>
      <w:r>
        <w:t xml:space="preserve">With 6.06 kgCO2e, material production accounts for roughly 19.3% of the total footprint. The Circuit Board component (1.5 kgCO2e) and Aluminum Casing (3.5 kgCO2e) are significant contributors within this category, highlighting the carbon intensity of certain raw materials and their processing.</w:t>
      </w:r>
    </w:p>
    <w:p>
      <w:pPr>
        <w:numPr>
          <w:ilvl w:val="0"/>
          <w:numId w:val="1017"/>
        </w:numPr>
        <w:pStyle w:val="Compact"/>
      </w:pPr>
      <w:r>
        <w:rPr>
          <w:bCs/>
          <w:b/>
        </w:rPr>
        <w:t xml:space="preserve">Production Energy (Scope 2):</w:t>
      </w:r>
      <w:r>
        <w:t xml:space="preserve"> </w:t>
      </w:r>
      <w:r>
        <w:t xml:space="preserve">Purchased electricity for production contributes 0.834 kgCO2e (approximately 2.7%). While renewable energy usage significantly reduces this, the remaining 30% from the grid still contributes.</w:t>
      </w:r>
    </w:p>
    <w:p>
      <w:pPr>
        <w:numPr>
          <w:ilvl w:val="0"/>
          <w:numId w:val="1017"/>
        </w:numPr>
        <w:pStyle w:val="Compact"/>
      </w:pPr>
      <w:r>
        <w:rPr>
          <w:bCs/>
          <w:b/>
        </w:rPr>
        <w:t xml:space="preserve">End-of-Life (Category 12):</w:t>
      </w:r>
      <w:r>
        <w:t xml:space="preserve"> </w:t>
      </w:r>
      <w:r>
        <w:t xml:space="preserve">The circular economy impacts, specifically the high recyclability percentage and take-back programs, result in a net negative contribution (-0.805 kgCO2e), demonstrating significant avoided emissions and the benefits of circularity.</w:t>
      </w:r>
    </w:p>
    <w:bookmarkEnd w:id="42"/>
    <w:bookmarkStart w:id="43" w:name="recommendations-for-reduction"/>
    <w:p>
      <w:pPr>
        <w:pStyle w:val="Heading3"/>
      </w:pPr>
      <w:r>
        <w:t xml:space="preserve">Recommendations for Reduction:</w:t>
      </w:r>
    </w:p>
    <w:p>
      <w:pPr>
        <w:numPr>
          <w:ilvl w:val="0"/>
          <w:numId w:val="1018"/>
        </w:numPr>
        <w:pStyle w:val="Compact"/>
      </w:pPr>
      <w:r>
        <w:rPr>
          <w:bCs/>
          <w:b/>
        </w:rPr>
        <w:t xml:space="preserve">Optimize Use Phase Efficiency:</w:t>
      </w:r>
      <w:r>
        <w:t xml:space="preserve"> </w:t>
      </w:r>
      <w:r>
        <w:t xml:space="preserve">Focus on reducing the product\'s energy consumption during its lifespan. This could involve design improvements for lower power draw, exploring energy-efficient modes, or educating users on sustainable usage patterns.</w:t>
      </w:r>
    </w:p>
    <w:p>
      <w:pPr>
        <w:numPr>
          <w:ilvl w:val="0"/>
          <w:numId w:val="1018"/>
        </w:numPr>
        <w:pStyle w:val="Compact"/>
      </w:pPr>
      <w:r>
        <w:rPr>
          <w:bCs/>
          <w:b/>
        </w:rPr>
        <w:t xml:space="preserve">Material Decarbonization:</w:t>
      </w:r>
      <w:r>
        <w:t xml:space="preserve"> </w:t>
      </w:r>
      <w:r>
        <w:t xml:space="preserve">Investigate opportunities to source lower-carbon alternatives for the aluminum casing and circuit board, or work with suppliers to reduce the carbon intensity of their manufacturing processes. Increasing recycled content in these materials could also provide significant benefits.</w:t>
      </w:r>
    </w:p>
    <w:p>
      <w:pPr>
        <w:numPr>
          <w:ilvl w:val="0"/>
          <w:numId w:val="1018"/>
        </w:numPr>
        <w:pStyle w:val="Compact"/>
      </w:pPr>
      <w:r>
        <w:rPr>
          <w:bCs/>
          <w:b/>
        </w:rPr>
        <w:t xml:space="preserve">Enhance Renewable Energy in Production:</w:t>
      </w:r>
      <w:r>
        <w:t xml:space="preserve"> </w:t>
      </w:r>
      <w:r>
        <w:t xml:space="preserve">While 70% renewable energy is commendable, exploring options to reach 100% renewable energy for the factory in China would eliminate Scope 2 emissions entirely.</w:t>
      </w:r>
    </w:p>
    <w:p>
      <w:pPr>
        <w:numPr>
          <w:ilvl w:val="0"/>
          <w:numId w:val="1018"/>
        </w:numPr>
        <w:pStyle w:val="Compact"/>
      </w:pPr>
      <w:r>
        <w:rPr>
          <w:bCs/>
          <w:b/>
        </w:rPr>
        <w:t xml:space="preserve">Strengthen Circularity:</w:t>
      </w:r>
      <w:r>
        <w:t xml:space="preserve"> </w:t>
      </w:r>
      <w:r>
        <w:t xml:space="preserve">Continue to promote and expand take-back programs and ensure high actual recycling rates to maximize avoided emissions benefits at End-of-Life.</w:t>
      </w:r>
    </w:p>
    <w:bookmarkEnd w:id="43"/>
    <w:bookmarkStart w:id="44" w:name="reliability-statement"/>
    <w:p>
      <w:pPr>
        <w:pStyle w:val="Heading3"/>
      </w:pPr>
      <w:r>
        <w:t xml:space="preserve">Reliability Statement</w:t>
      </w:r>
    </w:p>
    <w:p>
      <w:pPr>
        <w:pStyle w:val="FirstParagraph"/>
      </w:pPr>
      <w:r>
        <w:t xml:space="preserve">This report is based on the data provided by otljfuiodd, industry-average emission factors where specific data was unavailable (clearly marked as illustrative proxies), and the latest GHG Protocol guidelines. While efforts have been made to ensure accuracy and completeness in accordance with the 2026 Scope 3 reporting requirements, the reliability of the results is dependent on the quality and representativeness of the underlying data. Future assessments would benefit from increased primary data collection from upstream suppliers and downstream partners.</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fmqktejpwh</dc:title>
  <dc:creator/>
  <dc:description>Detailed Product Carbon Footprint (PCF) analysis report for fmqktejpwh by hzhdtmlwpn, Senior Sustainability Consultant at otljfuiodd, adhering to GHG Protocol and 2026 LSR updates.</dc:description>
  <dc:language>en</dc:language>
  <cp:keywords/>
  <dcterms:created xsi:type="dcterms:W3CDTF">2026-05-31T00:43:33Z</dcterms:created>
  <dcterms:modified xsi:type="dcterms:W3CDTF">2026-05-31T00:43:33Z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