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fkmsyxtezn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fkmsyxtezn</w:t>
      </w:r>
    </w:p>
    <w:p>
      <w:pPr>
        <w:pStyle w:val="BodyText"/>
      </w:pPr>
      <w:r>
        <w:rPr>
          <w:bCs/>
          <w:b/>
        </w:rPr>
        <w:t xml:space="preserve">Company:</w:t>
      </w:r>
      <w:r>
        <w:t xml:space="preserve"> </w:t>
      </w:r>
      <w:r>
        <w:t xml:space="preserve">wdeiqomwmh</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shhleijqzn, Senior Sustainability Consultant</w:t>
      </w:r>
    </w:p>
    <w:p>
      <w:pPr>
        <w:pStyle w:val="BodyText"/>
      </w:pPr>
      <w:r>
        <w:t xml:space="preserve">This report is generated based on available data and industry standards. All assumptions made for calculation demonstrations are explicitly stated within the report.</w:t>
      </w:r>
    </w:p>
    <w:bookmarkEnd w:id="20"/>
    <w:bookmarkStart w:id="46" w:name="X5da02e28070609227df98ae19e987b79445ed79"/>
    <w:p>
      <w:pPr>
        <w:pStyle w:val="Heading1"/>
      </w:pPr>
      <w:r>
        <w:t xml:space="preserve">Product Carbon Footprint Analysis for fkmsyxtezn</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provides a high-detail Product Carbon Footprint (PCF) analysis for the product fkmsyxtezn, manufactured by wdeiqomwmh. The analysis, conducted by Senior Sustainability Consultant shhleijqzn, adheres strictly to the GHG Protocol and incorporates the latest 2026 Land Sector and Removals (LSR) Standard updates, ensuring at least 95% coverage for Scope 3 emissions reporting. The PCF quantifies greenhouse gas emissions across the product\'s lifecycle, from material acquisition to end-of-life, identifying key emission hotspots and offering insights for decarbonization efforts. While specific parameters for various lifecycle stages were provided as placeholders, representative numerical values have been assumed for calculation demonstrations, with all assumptions clearly outlined.</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 fkmsyxtezn follows the Greenhouse Gas Protocol Product Standard, employing a comprehensive life cycle assessment approach. Emissions are categorized into Scope 1 (direct emissions from owned or controlled sources), Scope 2 (indirect emissions from purchased energy), and Scope 3 (all other indirect emissions in the value chain).</w:t>
      </w:r>
    </w:p>
    <w:bookmarkStart w:id="22" w:name="key-parameters-and-assumptions"/>
    <w:p>
      <w:pPr>
        <w:pStyle w:val="Heading3"/>
      </w:pPr>
      <w:r>
        <w:t xml:space="preserve">1.1. Key Parameters and Assumptions</w:t>
      </w:r>
    </w:p>
    <w:p>
      <w:pPr>
        <w:numPr>
          <w:ilvl w:val="0"/>
          <w:numId w:val="1001"/>
        </w:numPr>
        <w:pStyle w:val="Compact"/>
      </w:pPr>
      <w:r>
        <w:rPr>
          <w:bCs/>
          <w:b/>
        </w:rPr>
        <w:t xml:space="preserve">Functional Unit:</w:t>
      </w:r>
      <w:r>
        <w:t xml:space="preserve"> </w:t>
      </w:r>
      <w:r>
        <w:t xml:space="preserve">1.0 unit of fkmsyxtezn</w:t>
      </w:r>
    </w:p>
    <w:p>
      <w:pPr>
        <w:numPr>
          <w:ilvl w:val="0"/>
          <w:numId w:val="1001"/>
        </w:numPr>
        <w:pStyle w:val="Compact"/>
      </w:pPr>
      <w:r>
        <w:rPr>
          <w:bCs/>
          <w:b/>
        </w:rPr>
        <w:t xml:space="preserve">System Boundary:</w:t>
      </w:r>
      <w:r>
        <w:t xml:space="preserve"> </w:t>
      </w:r>
      <w:r>
        <w:t xml:space="preserve">factory_gate (for operational control; however, a full cradle-to-grave PCF analysis is conducted for the product lifecycle, extending to Scope 3 categories for comprehensive product impact assessment as per GHG Protocol PCF guidelines).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Senior Sustainability Consultant:</w:t>
      </w:r>
      <w:r>
        <w:t xml:space="preserve"> </w:t>
      </w:r>
      <w:r>
        <w:t xml:space="preserve">shhleijqzn</w:t>
      </w:r>
    </w:p>
    <w:p>
      <w:pPr>
        <w:numPr>
          <w:ilvl w:val="0"/>
          <w:numId w:val="1001"/>
        </w:numPr>
        <w:pStyle w:val="Compact"/>
      </w:pPr>
      <w:r>
        <w:rPr>
          <w:bCs/>
          <w:b/>
        </w:rPr>
        <w:t xml:space="preserve">Company Name:</w:t>
      </w:r>
      <w:r>
        <w:t xml:space="preserve"> </w:t>
      </w:r>
      <w:r>
        <w:t xml:space="preserve">wdeiqomwmh</w:t>
      </w:r>
    </w:p>
    <w:bookmarkEnd w:id="22"/>
    <w:bookmarkStart w:id="23" w:name="X25ab271e0b973df754491ec5ddcb2d245f47eaf"/>
    <w:p>
      <w:pPr>
        <w:pStyle w:val="Heading3"/>
      </w:pPr>
      <w:r>
        <w:t xml:space="preserve">1.2. GHG Protocol Adherence and 2026 LSR Update</w:t>
      </w:r>
    </w:p>
    <w:p>
      <w:pPr>
        <w:pStyle w:val="FirstParagraph"/>
      </w:pPr>
      <w:r>
        <w:t xml:space="preserve">This analysis categorizes emissions into Scope 1, Scope 2, and Scope 3 as defined by the GHG Protocol. Special attention has been given to achieving at least 95% coverage for Scope 3 emissions, reflecting 2026 requirements for comprehensive value chain reporting.</w:t>
      </w:r>
    </w:p>
    <w:p>
      <w:pPr>
        <w:pStyle w:val="BodyText"/>
      </w:pPr>
      <w:r>
        <w:t xml:space="preserve">The 2026 Land Sector and Removals (LSR) Standard is acknowledged and applied. While no specific land-use change or direct carbon removal data for fkmsyxtezn was provided, the methodology accounts for potential impacts if relevant data becomes available. In the absence of specific LSR data for this product, no explicit LSR emissions or removals are quantified in this report, but the framework is in place for future inclusion.</w:t>
      </w:r>
    </w:p>
    <w:p>
      <w:r>
        <w:pict>
          <v:rect style="width:0;height:1.5pt" o:hralign="center" o:hrstd="t" o:hr="t"/>
        </w:pict>
      </w:r>
    </w:p>
    <w:bookmarkEnd w:id="23"/>
    <w:bookmarkEnd w:id="24"/>
    <w:bookmarkStart w:id="31" w:name="X8640d10399eff6f74357736cb56d1cbb72dfd8b"/>
    <w:p>
      <w:pPr>
        <w:pStyle w:val="Heading2"/>
      </w:pPr>
      <w:r>
        <w:t xml:space="preserve">2. Lifecycle Inventory (LCI) Mapping and Data Collection</w:t>
      </w:r>
    </w:p>
    <w:p>
      <w:pPr>
        <w:pStyle w:val="FirstParagraph"/>
      </w:pPr>
      <w:r>
        <w:t xml:space="preserve">This section details the inputs and processes mapped across the product\'s lifecycle, from raw material acquisition to end-of-life. Where specific data was provided as a placeholder, representative numeric assumptions have been made for the purpose of demonstrating calculations.</w:t>
      </w:r>
    </w:p>
    <w:bookmarkStart w:id="25" w:name="bill-of-materials-bom---ilmxqlgg"/>
    <w:p>
      <w:pPr>
        <w:pStyle w:val="Heading3"/>
      </w:pPr>
      <w:r>
        <w:t xml:space="preserve">2.1. Bill of Materials (BOM) - ilmxqlgg</w:t>
      </w:r>
    </w:p>
    <w:p>
      <w:pPr>
        <w:pStyle w:val="FirstParagraph"/>
      </w:pPr>
      <w:r>
        <w:t xml:space="preserve">The detailed Bill of Materials (BOM) for fkmsyxtezn, referred to as</w:t>
      </w:r>
      <w:r>
        <w:t xml:space="preserve"> </w:t>
      </w:r>
      <w:r>
        <w:rPr>
          <w:bCs/>
          <w:b/>
        </w:rPr>
        <w:t xml:space="preserve">ilmxqlgg</w:t>
      </w:r>
      <w:r>
        <w:t xml:space="preserve">, is crucial for calculating upstream material impacts. Since the literal string "ilmxqlgg" does not contain structured data, a representative example BOM following the specified format (ID, Description, Category, Process, Qty, Unit, Emission Factor, Total Carbon) is used for calculation demonstration, as instructed to "Ensure these specific values are used in your calculations." The "Total Carbon" values are directly used as the pre-calculated CO2e impact for each material, representing upstream emissions (Scope 3, Category 1).</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Metal</w:t>
            </w:r>
          </w:p>
        </w:tc>
        <w:tc>
          <w:tcPr/>
          <w:p>
            <w:pPr>
              <w:pStyle w:val="Compact"/>
              <w:jc w:val="left"/>
            </w:pPr>
            <w:r>
              <w:t xml:space="preserve">Metal 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8.6</w:t>
            </w:r>
          </w:p>
        </w:tc>
        <w:tc>
          <w:tcPr/>
          <w:p>
            <w:pPr>
              <w:pStyle w:val="Compact"/>
              <w:jc w:val="left"/>
            </w:pPr>
            <w:r>
              <w:t xml:space="preserve">6.88</w:t>
            </w:r>
          </w:p>
        </w:tc>
      </w:tr>
      <w:tr>
        <w:tc>
          <w:tcPr/>
          <w:p>
            <w:pPr>
              <w:pStyle w:val="Compact"/>
              <w:jc w:val="left"/>
            </w:pPr>
            <w:r>
              <w:t xml:space="preserve">2</w:t>
            </w:r>
          </w:p>
        </w:tc>
        <w:tc>
          <w:tcPr/>
          <w:p>
            <w:pPr>
              <w:pStyle w:val="Compact"/>
              <w:jc w:val="left"/>
            </w:pPr>
            <w:r>
              <w:t xml:space="preserve">Internal Electronics</w:t>
            </w:r>
          </w:p>
        </w:tc>
        <w:tc>
          <w:tcPr/>
          <w:p>
            <w:pPr>
              <w:pStyle w:val="Compact"/>
              <w:jc w:val="left"/>
            </w:pPr>
            <w:r>
              <w:t xml:space="preserve">Mixed Materials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Packaging (Initial)</w:t>
            </w:r>
          </w:p>
        </w:tc>
        <w:tc>
          <w:tcPr/>
          <w:p>
            <w:pPr>
              <w:pStyle w:val="Compact"/>
              <w:jc w:val="left"/>
            </w:pPr>
            <w:r>
              <w:t xml:space="preserve">Paper/Cardboard</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4</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gridSpan w:val="7"/>
          </w:tcPr>
          <w:p>
            <w:pPr>
              <w:pStyle w:val="Compact"/>
              <w:jc w:val="right"/>
            </w:pPr>
            <w:r>
              <w:rPr>
                <w:bCs/>
                <w:b/>
              </w:rPr>
              <w:t xml:space="preserve">Total Material Emissions (Upstream)</w:t>
            </w:r>
          </w:p>
        </w:tc>
        <w:tc>
          <w:tcPr/>
          <w:p>
            <w:pPr>
              <w:pStyle w:val="Compact"/>
              <w:jc w:val="left"/>
            </w:pPr>
            <w:r>
              <w:rPr>
                <w:bCs/>
                <w:b/>
              </w:rPr>
              <w:t xml:space="preserve">11.08</w:t>
            </w:r>
          </w:p>
        </w:tc>
      </w:tr>
    </w:tbl>
    <w:p>
      <w:pPr>
        <w:pStyle w:val="BodyText"/>
      </w:pPr>
      <w:r>
        <w:t xml:space="preserve">Total product mass (for EoL calculations) from this example BOM is 0.8 + 0.2 + 0.1 + 0.3 = 1.4 kg.</w:t>
      </w:r>
    </w:p>
    <w:bookmarkEnd w:id="25"/>
    <w:bookmarkStart w:id="26" w:name="production-phase-energy-inputs"/>
    <w:p>
      <w:pPr>
        <w:pStyle w:val="Heading3"/>
      </w:pPr>
      <w:r>
        <w:t xml:space="preserve">2.2. Production Phase Energy Inputs</w:t>
      </w:r>
    </w:p>
    <w:p>
      <w:pPr>
        <w:numPr>
          <w:ilvl w:val="0"/>
          <w:numId w:val="1002"/>
        </w:numPr>
        <w:pStyle w:val="Compact"/>
      </w:pPr>
      <w:r>
        <w:rPr>
          <w:bCs/>
          <w:b/>
        </w:rPr>
        <w:t xml:space="preserve">Renewable Energy Usage:</w:t>
      </w:r>
      <w:r>
        <w:t xml:space="preserve"> </w:t>
      </w:r>
      <w:r>
        <w:t xml:space="preserve">kldvllrxrt (Assumed: 30%)</w:t>
      </w:r>
    </w:p>
    <w:p>
      <w:pPr>
        <w:numPr>
          <w:ilvl w:val="0"/>
          <w:numId w:val="1002"/>
        </w:numPr>
        <w:pStyle w:val="Compact"/>
      </w:pPr>
      <w:r>
        <w:rPr>
          <w:bCs/>
          <w:b/>
        </w:rPr>
        <w:t xml:space="preserve">Energy Intensity (kWh/unit):</w:t>
      </w:r>
      <w:r>
        <w:t xml:space="preserve"> </w:t>
      </w:r>
      <w:r>
        <w:t xml:space="preserve">hnfgunudzv (Assumed: 12 kWh/unit)</w:t>
      </w:r>
    </w:p>
    <w:bookmarkEnd w:id="26"/>
    <w:bookmarkStart w:id="27" w:name="logistics-data-scope-3-category-4"/>
    <w:p>
      <w:pPr>
        <w:pStyle w:val="Heading3"/>
      </w:pPr>
      <w:r>
        <w:t xml:space="preserve">2.3. Logistics Data (Scope 3, Category 4)</w:t>
      </w:r>
    </w:p>
    <w:p>
      <w:pPr>
        <w:numPr>
          <w:ilvl w:val="0"/>
          <w:numId w:val="1003"/>
        </w:numPr>
        <w:pStyle w:val="Compact"/>
      </w:pPr>
      <w:r>
        <w:rPr>
          <w:bCs/>
          <w:b/>
        </w:rPr>
        <w:t xml:space="preserve">Transport Mode:</w:t>
      </w:r>
      <w:r>
        <w:t xml:space="preserve"> </w:t>
      </w:r>
      <w:r>
        <w:t xml:space="preserve">Select Mode (Assumed: Road Freight - Heavy Duty Truck, Diesel, Euro VI equivalent, for primary transport to factory in China)</w:t>
      </w:r>
    </w:p>
    <w:p>
      <w:pPr>
        <w:numPr>
          <w:ilvl w:val="0"/>
          <w:numId w:val="1003"/>
        </w:numPr>
        <w:pStyle w:val="Compact"/>
      </w:pPr>
      <w:r>
        <w:rPr>
          <w:bCs/>
          <w:b/>
        </w:rPr>
        <w:t xml:space="preserve">Transport Distance:</w:t>
      </w:r>
      <w:r>
        <w:t xml:space="preserve"> </w:t>
      </w:r>
      <w:r>
        <w:t xml:space="preserve">qpliwuipde (Assumed: 1500 km, representing average inbound logistics to final production country)</w:t>
      </w:r>
    </w:p>
    <w:p>
      <w:pPr>
        <w:numPr>
          <w:ilvl w:val="0"/>
          <w:numId w:val="1003"/>
        </w:numPr>
        <w:pStyle w:val="Compact"/>
      </w:pPr>
      <w:r>
        <w:rPr>
          <w:bCs/>
          <w:b/>
        </w:rPr>
        <w:t xml:space="preserve">Last-Mile Delivery Channel:</w:t>
      </w:r>
      <w:r>
        <w:t xml:space="preserve"> </w:t>
      </w:r>
      <w:r>
        <w:t xml:space="preserve">Delivery Type (Assumed: Parcel Delivery Van, for delivery from distribution center to customer in Europe)</w:t>
      </w:r>
    </w:p>
    <w:p>
      <w:pPr>
        <w:numPr>
          <w:ilvl w:val="0"/>
          <w:numId w:val="1003"/>
        </w:numPr>
        <w:pStyle w:val="Compact"/>
      </w:pPr>
      <w:r>
        <w:rPr>
          <w:bCs/>
          <w:b/>
        </w:rPr>
        <w:t xml:space="preserve">Last-Mile Delivery Distance:</w:t>
      </w:r>
      <w:r>
        <w:t xml:space="preserve"> </w:t>
      </w:r>
      <w:r>
        <w:t xml:space="preserve">(Assumed: 500 km for parcel delivery within Europe)</w:t>
      </w:r>
    </w:p>
    <w:bookmarkEnd w:id="27"/>
    <w:bookmarkStart w:id="28" w:name="use-phase-data-scope-3-category-11"/>
    <w:p>
      <w:pPr>
        <w:pStyle w:val="Heading3"/>
      </w:pPr>
      <w:r>
        <w:t xml:space="preserve">2.4. Use Phase Data (Scope 3, Category 11)</w:t>
      </w:r>
    </w:p>
    <w:p>
      <w:pPr>
        <w:numPr>
          <w:ilvl w:val="0"/>
          <w:numId w:val="1004"/>
        </w:numPr>
        <w:pStyle w:val="Compact"/>
      </w:pPr>
      <w:r>
        <w:rPr>
          <w:bCs/>
          <w:b/>
        </w:rPr>
        <w:t xml:space="preserve">Product Lifespan:</w:t>
      </w:r>
      <w:r>
        <w:t xml:space="preserve"> </w:t>
      </w:r>
      <w:r>
        <w:t xml:space="preserve">mguohrfyvo (Assumed: 3 years)</w:t>
      </w:r>
    </w:p>
    <w:p>
      <w:pPr>
        <w:numPr>
          <w:ilvl w:val="0"/>
          <w:numId w:val="1004"/>
        </w:numPr>
        <w:pStyle w:val="Compact"/>
      </w:pPr>
      <w:r>
        <w:rPr>
          <w:bCs/>
          <w:b/>
        </w:rPr>
        <w:t xml:space="preserve">Energy Consumption in Use:</w:t>
      </w:r>
      <w:r>
        <w:t xml:space="preserve"> </w:t>
      </w:r>
      <w:r>
        <w:t xml:space="preserve">hqpxuzwzfv (Assumed: 0.02 kWh/hour, operating 8 hours/day)</w:t>
      </w:r>
    </w:p>
    <w:bookmarkEnd w:id="28"/>
    <w:bookmarkStart w:id="29" w:name="end-of-life-eol-data-scope-3-category-12"/>
    <w:p>
      <w:pPr>
        <w:pStyle w:val="Heading3"/>
      </w:pPr>
      <w:r>
        <w:t xml:space="preserve">2.5. End-of-Life (EoL) Data (Scope 3, Category 12)</w:t>
      </w:r>
    </w:p>
    <w:p>
      <w:pPr>
        <w:numPr>
          <w:ilvl w:val="0"/>
          <w:numId w:val="1005"/>
        </w:numPr>
        <w:pStyle w:val="Compact"/>
      </w:pPr>
      <w:r>
        <w:rPr>
          <w:bCs/>
          <w:b/>
        </w:rPr>
        <w:t xml:space="preserve">Recyclability Percentage:</w:t>
      </w:r>
      <w:r>
        <w:t xml:space="preserve"> </w:t>
      </w:r>
      <w:r>
        <w:t xml:space="preserve">jxzfxnguog (Assumed: 60% of product mass is recyclable)</w:t>
      </w:r>
    </w:p>
    <w:p>
      <w:pPr>
        <w:numPr>
          <w:ilvl w:val="0"/>
          <w:numId w:val="1005"/>
        </w:numPr>
        <w:pStyle w:val="Compact"/>
      </w:pPr>
      <w:r>
        <w:rPr>
          <w:bCs/>
          <w:b/>
        </w:rPr>
        <w:t xml:space="preserve">Circular/Take-back Programs:</w:t>
      </w:r>
      <w:r>
        <w:t xml:space="preserve"> </w:t>
      </w:r>
      <w:r>
        <w:t xml:space="preserve">imevhzwmuu (Assumed: "Active product take-back program in place for key components, aiming for high material recovery rates and closed-loop recycling.")</w:t>
      </w:r>
    </w:p>
    <w:bookmarkEnd w:id="29"/>
    <w:bookmarkStart w:id="30" w:name="emission-factors-and-data-sources"/>
    <w:p>
      <w:pPr>
        <w:pStyle w:val="Heading3"/>
      </w:pPr>
      <w:r>
        <w:t xml:space="preserve">2.6. Emission Factors and Data Sources</w:t>
      </w:r>
    </w:p>
    <w:p>
      <w:pPr>
        <w:pStyle w:val="FirstParagraph"/>
      </w:pPr>
      <w:r>
        <w:t xml:space="preserve">Industry-standard emission factors are used, drawing on databases such as Ecoinvent and DEFRA. Specific assumed factors for calculations are:</w:t>
      </w:r>
    </w:p>
    <w:p>
      <w:pPr>
        <w:numPr>
          <w:ilvl w:val="0"/>
          <w:numId w:val="1006"/>
        </w:numPr>
        <w:pStyle w:val="Compact"/>
      </w:pPr>
      <w:r>
        <w:rPr>
          <w:bCs/>
          <w:b/>
        </w:rPr>
        <w:t xml:space="preserve">China Electricity Grid Emission Factor:</w:t>
      </w:r>
      <w:r>
        <w:t xml:space="preserve"> </w:t>
      </w:r>
      <w:r>
        <w:t xml:space="preserve">0.58 kg CO2e/kWh (national average for production in China)</w:t>
      </w:r>
    </w:p>
    <w:p>
      <w:pPr>
        <w:numPr>
          <w:ilvl w:val="0"/>
          <w:numId w:val="1006"/>
        </w:numPr>
        <w:pStyle w:val="Compact"/>
      </w:pPr>
      <w:r>
        <w:rPr>
          <w:bCs/>
          <w:b/>
        </w:rPr>
        <w:t xml:space="preserve">Europe Electricity Grid Emission Factor (average for use phase):</w:t>
      </w:r>
      <w:r>
        <w:t xml:space="preserve"> </w:t>
      </w:r>
      <w:r>
        <w:t xml:space="preserve">0.25 kg CO2e/kWh (illustrative for product use in Europe)</w:t>
      </w:r>
    </w:p>
    <w:p>
      <w:pPr>
        <w:numPr>
          <w:ilvl w:val="0"/>
          <w:numId w:val="1006"/>
        </w:numPr>
        <w:pStyle w:val="Compact"/>
      </w:pPr>
      <w:r>
        <w:rPr>
          <w:bCs/>
          <w:b/>
        </w:rPr>
        <w:t xml:space="preserve">Road Freight (Heavy Duty Truck):</w:t>
      </w:r>
      <w:r>
        <w:t xml:space="preserve"> </w:t>
      </w:r>
      <w:r>
        <w:t xml:space="preserve">0.09 kg CO2e/tkm (tonne-kilometer, for primary transport, illustrative based on Ecoinvent/DEFRA data for European logistics)</w:t>
      </w:r>
    </w:p>
    <w:p>
      <w:pPr>
        <w:numPr>
          <w:ilvl w:val="0"/>
          <w:numId w:val="1006"/>
        </w:numPr>
        <w:pStyle w:val="Compact"/>
      </w:pPr>
      <w:r>
        <w:rPr>
          <w:bCs/>
          <w:b/>
        </w:rPr>
        <w:t xml:space="preserve">Parcel Delivery Van:</w:t>
      </w:r>
      <w:r>
        <w:t xml:space="preserve"> </w:t>
      </w:r>
      <w:r>
        <w:t xml:space="preserve">0.25 kg CO2e/km (for last-mile delivery, illustrative based on DEFRA data for average van)</w:t>
      </w:r>
    </w:p>
    <w:p>
      <w:pPr>
        <w:numPr>
          <w:ilvl w:val="0"/>
          <w:numId w:val="1006"/>
        </w:numPr>
        <w:pStyle w:val="Compact"/>
      </w:pPr>
      <w:r>
        <w:rPr>
          <w:bCs/>
          <w:b/>
        </w:rPr>
        <w:t xml:space="preserve">Landfill Emission Factor (Mixed Waste):</w:t>
      </w:r>
      <w:r>
        <w:t xml:space="preserve"> </w:t>
      </w:r>
      <w:r>
        <w:t xml:space="preserve">0.15 kg CO2e/kg (illustrative for non-recyclable waste)</w:t>
      </w:r>
    </w:p>
    <w:p>
      <w:pPr>
        <w:numPr>
          <w:ilvl w:val="0"/>
          <w:numId w:val="1006"/>
        </w:numPr>
        <w:pStyle w:val="Compact"/>
      </w:pPr>
      <w:r>
        <w:rPr>
          <w:bCs/>
          <w:b/>
        </w:rPr>
        <w:t xml:space="preserve">Recycling Credit (Mixed Recycled Materials):</w:t>
      </w:r>
      <w:r>
        <w:t xml:space="preserve"> </w:t>
      </w:r>
      <w:r>
        <w:t xml:space="preserve">-1.5 kg CO2e/kg (illustrative avoided emissions for recycling mixed materials, reflecting energy savings compared to virgin production)</w:t>
      </w:r>
    </w:p>
    <w:p>
      <w:r>
        <w:pict>
          <v:rect style="width:0;height:1.5pt" o:hralign="center" o:hrstd="t" o:hr="t"/>
        </w:pict>
      </w:r>
    </w:p>
    <w:bookmarkEnd w:id="30"/>
    <w:bookmarkEnd w:id="31"/>
    <w:bookmarkStart w:id="41" w:name="X439a6e6dcb43c636bf515ffaf3f59bce0bd6490"/>
    <w:p>
      <w:pPr>
        <w:pStyle w:val="Heading2"/>
      </w:pPr>
      <w:r>
        <w:t xml:space="preserve">3. Emission Calculation (Activity * Emission Factor = CO2e)</w:t>
      </w:r>
    </w:p>
    <w:p>
      <w:pPr>
        <w:pStyle w:val="FirstParagraph"/>
      </w:pPr>
      <w:r>
        <w:t xml:space="preserve">This section details the calculation of emissions for each life cycle stage, categorized by GHG Protocol scopes. All calculations are based on the assumed numeric values for the placeholders discussed in Section 2.</w:t>
      </w:r>
    </w:p>
    <w:bookmarkStart w:id="32" w:name="scope-1-direct-emissions"/>
    <w:p>
      <w:pPr>
        <w:pStyle w:val="Heading3"/>
      </w:pPr>
      <w:r>
        <w:t xml:space="preserve">3.1. Scope 1: Direct Emissions</w:t>
      </w:r>
    </w:p>
    <w:p>
      <w:pPr>
        <w:pStyle w:val="FirstParagraph"/>
      </w:pPr>
      <w:r>
        <w:t xml:space="preserve">For a "factory_gate" system boundary focused on the product itself, and given the provided parameters, no direct Scope 1 emissions (e.g., from on-site fuel combustion owned by wdeiqomwmh specifically for fkmsyxtezn\'s production) are explicitly quantifiable from the data provided. It is assumed that direct operational emissions related to the general factory operation are not directly attributable to this specific product unit in the provided data structure. Any minor direct emissions would typically be negligible for a product-level PCF if electricity is the primary energy input.</w:t>
      </w:r>
    </w:p>
    <w:bookmarkEnd w:id="32"/>
    <w:bookmarkStart w:id="33" w:name="Xb723199ec699a00f8e69a8c739729ec15ed31a7"/>
    <w:p>
      <w:pPr>
        <w:pStyle w:val="Heading3"/>
      </w:pPr>
      <w:r>
        <w:t xml:space="preserve">3.2. Scope 2: Purchased Energy Emissions (Production)</w:t>
      </w:r>
    </w:p>
    <w:p>
      <w:pPr>
        <w:pStyle w:val="FirstParagraph"/>
      </w:pPr>
      <w:r>
        <w:t xml:space="preserve">Emissions from purchased electricity for the production of fkmsyxtezn at the facility in China.</w:t>
      </w:r>
    </w:p>
    <w:p>
      <w:pPr>
        <w:numPr>
          <w:ilvl w:val="0"/>
          <w:numId w:val="1007"/>
        </w:numPr>
        <w:pStyle w:val="Compact"/>
      </w:pPr>
      <w:r>
        <w:t xml:space="preserve">Total Energy Intensity: hnfgunudzv = 12 kWh/unit (Assumed)</w:t>
      </w:r>
    </w:p>
    <w:p>
      <w:pPr>
        <w:numPr>
          <w:ilvl w:val="0"/>
          <w:numId w:val="1007"/>
        </w:numPr>
        <w:pStyle w:val="Compact"/>
      </w:pPr>
      <w:r>
        <w:t xml:space="preserve">Renewable Energy Usage: kldvllrxrt = 30% (Assumed)</w:t>
      </w:r>
    </w:p>
    <w:p>
      <w:pPr>
        <w:numPr>
          <w:ilvl w:val="0"/>
          <w:numId w:val="1007"/>
        </w:numPr>
        <w:pStyle w:val="Compact"/>
      </w:pPr>
      <w:r>
        <w:t xml:space="preserve">Non-renewable Energy: 100% - 30% = 70%</w:t>
      </w:r>
    </w:p>
    <w:p>
      <w:pPr>
        <w:numPr>
          <w:ilvl w:val="0"/>
          <w:numId w:val="1007"/>
        </w:numPr>
        <w:pStyle w:val="Compact"/>
      </w:pPr>
      <w:r>
        <w:t xml:space="preserve">Electricity purchased from grid (non-renewable portion): 12 kWh/unit * 70% = 8.4 kWh/unit</w:t>
      </w:r>
    </w:p>
    <w:p>
      <w:pPr>
        <w:numPr>
          <w:ilvl w:val="0"/>
          <w:numId w:val="1007"/>
        </w:numPr>
        <w:pStyle w:val="Compact"/>
      </w:pPr>
      <w:r>
        <w:t xml:space="preserve">China Grid Emission Factor: 0.58 kg CO2e/kWh</w:t>
      </w:r>
    </w:p>
    <w:p>
      <w:pPr>
        <w:numPr>
          <w:ilvl w:val="0"/>
          <w:numId w:val="1007"/>
        </w:numPr>
        <w:pStyle w:val="Compact"/>
      </w:pPr>
      <w:r>
        <w:rPr>
          <w:bCs/>
          <w:b/>
        </w:rPr>
        <w:t xml:space="preserve">Scope 2 Emissions:</w:t>
      </w:r>
      <w:r>
        <w:t xml:space="preserve"> </w:t>
      </w:r>
      <w:r>
        <w:t xml:space="preserve">8.4 kWh/unit * 0.58 kg CO2e/kWh =</w:t>
      </w:r>
      <w:r>
        <w:t xml:space="preserve"> </w:t>
      </w:r>
      <w:r>
        <w:rPr>
          <w:bCs/>
          <w:b/>
        </w:rPr>
        <w:t xml:space="preserve">4.87 kg CO2e/unit</w:t>
      </w:r>
    </w:p>
    <w:bookmarkEnd w:id="33"/>
    <w:bookmarkStart w:id="39" w:name="scope-3-value-chain-emissions"/>
    <w:p>
      <w:pPr>
        <w:pStyle w:val="Heading3"/>
      </w:pPr>
      <w:r>
        <w:t xml:space="preserve">3.3. Scope 3: Value Chain Emissions</w:t>
      </w:r>
    </w:p>
    <w:bookmarkStart w:id="34" w:name="Xf658e76007abdbb5a86b3b1fa15dcb907d7180e"/>
    <w:p>
      <w:pPr>
        <w:pStyle w:val="Heading4"/>
      </w:pPr>
      <w:r>
        <w:t xml:space="preserve">3.3.1. Category 1: Purchased Goods and Services (Upstream Materials)</w:t>
      </w:r>
    </w:p>
    <w:p>
      <w:pPr>
        <w:pStyle w:val="FirstParagraph"/>
      </w:pPr>
      <w:r>
        <w:t xml:space="preserve">Emissions associated with the extraction, production, and pre-processing of raw materials and components (ilmxqlgg).</w:t>
      </w:r>
    </w:p>
    <w:p>
      <w:pPr>
        <w:numPr>
          <w:ilvl w:val="0"/>
          <w:numId w:val="1008"/>
        </w:numPr>
        <w:pStyle w:val="Compact"/>
      </w:pPr>
      <w:r>
        <w:t xml:space="preserve">Total Material Emissions from BOM: 11.08 kg CO2e/unit (Sum of "Total Carbon" from example BOM in Section 2.1)</w:t>
      </w:r>
    </w:p>
    <w:p>
      <w:pPr>
        <w:numPr>
          <w:ilvl w:val="0"/>
          <w:numId w:val="1008"/>
        </w:numPr>
        <w:pStyle w:val="Compact"/>
      </w:pPr>
      <w:r>
        <w:rPr>
          <w:bCs/>
          <w:b/>
        </w:rPr>
        <w:t xml:space="preserve">Scope 3, Category 1 Emissions:</w:t>
      </w:r>
      <w:r>
        <w:t xml:space="preserve"> </w:t>
      </w:r>
      <w:r>
        <w:rPr>
          <w:bCs/>
          <w:b/>
        </w:rPr>
        <w:t xml:space="preserve">11.08 kg CO2e/unit</w:t>
      </w:r>
    </w:p>
    <w:bookmarkEnd w:id="34"/>
    <w:bookmarkStart w:id="35" w:name="X6669a43143349c25ec93e775eebde43de53a73c"/>
    <w:p>
      <w:pPr>
        <w:pStyle w:val="Heading4"/>
      </w:pPr>
      <w:r>
        <w:t xml:space="preserve">3.3.2. Category 4: Upstream Transportation and Distribution</w:t>
      </w:r>
    </w:p>
    <w:p>
      <w:pPr>
        <w:pStyle w:val="FirstParagraph"/>
      </w:pPr>
      <w:r>
        <w:t xml:space="preserve">Emissions from the transportation of materials and components to the production facility.</w:t>
      </w:r>
    </w:p>
    <w:p>
      <w:pPr>
        <w:numPr>
          <w:ilvl w:val="0"/>
          <w:numId w:val="1009"/>
        </w:numPr>
        <w:pStyle w:val="Compact"/>
      </w:pPr>
      <w:r>
        <w:t xml:space="preserve">Transport Mode: Select Mode (Assumed: Road Freight - Heavy Duty Truck)</w:t>
      </w:r>
    </w:p>
    <w:p>
      <w:pPr>
        <w:numPr>
          <w:ilvl w:val="0"/>
          <w:numId w:val="1009"/>
        </w:numPr>
        <w:pStyle w:val="Compact"/>
      </w:pPr>
      <w:r>
        <w:t xml:space="preserve">Transport Distance: qpliwuipde (Assumed: 1500 km)</w:t>
      </w:r>
    </w:p>
    <w:p>
      <w:pPr>
        <w:numPr>
          <w:ilvl w:val="0"/>
          <w:numId w:val="1009"/>
        </w:numPr>
        <w:pStyle w:val="Compact"/>
      </w:pPr>
      <w:r>
        <w:t xml:space="preserve">Product Mass for Transport (average of components): 1.4 kg/unit (from BOM example)</w:t>
      </w:r>
    </w:p>
    <w:p>
      <w:pPr>
        <w:numPr>
          <w:ilvl w:val="0"/>
          <w:numId w:val="1009"/>
        </w:numPr>
        <w:pStyle w:val="Compact"/>
      </w:pPr>
      <w:r>
        <w:t xml:space="preserve">Road Freight Emission Factor: 0.09 kg CO2e/tkm (illustrative)</w:t>
      </w:r>
    </w:p>
    <w:p>
      <w:pPr>
        <w:numPr>
          <w:ilvl w:val="0"/>
          <w:numId w:val="1009"/>
        </w:numPr>
        <w:pStyle w:val="Compact"/>
      </w:pPr>
      <w:r>
        <w:rPr>
          <w:bCs/>
          <w:b/>
        </w:rPr>
        <w:t xml:space="preserve">Scope 3, Category 4 Emissions (Upstream):</w:t>
      </w:r>
      <w:r>
        <w:t xml:space="preserve"> </w:t>
      </w:r>
      <w:r>
        <w:t xml:space="preserve">(1.4 kg / 1000 kg/tonne) * 1500 km * 0.09 kg CO2e/tkm =</w:t>
      </w:r>
      <w:r>
        <w:t xml:space="preserve"> </w:t>
      </w:r>
      <w:r>
        <w:rPr>
          <w:bCs/>
          <w:b/>
        </w:rPr>
        <w:t xml:space="preserve">0.19 kg CO2e/unit</w:t>
      </w:r>
    </w:p>
    <w:bookmarkEnd w:id="35"/>
    <w:bookmarkStart w:id="36" w:name="Xe6a609cc71639c4bb5b5bcd247c776c9d89fa33"/>
    <w:p>
      <w:pPr>
        <w:pStyle w:val="Heading4"/>
      </w:pPr>
      <w:r>
        <w:t xml:space="preserve">3.3.3. Category 9: Downstream Transportation and Distribution (Last-Mile Delivery)</w:t>
      </w:r>
    </w:p>
    <w:p>
      <w:pPr>
        <w:pStyle w:val="FirstParagraph"/>
      </w:pPr>
      <w:r>
        <w:t xml:space="preserve">Emissions from the transportation of the finished product to the end-consumer.</w:t>
      </w:r>
    </w:p>
    <w:p>
      <w:pPr>
        <w:numPr>
          <w:ilvl w:val="0"/>
          <w:numId w:val="1010"/>
        </w:numPr>
        <w:pStyle w:val="Compact"/>
      </w:pPr>
      <w:r>
        <w:t xml:space="preserve">Last-Mile Delivery Channel: Delivery Type (Assumed: Parcel Delivery Van)</w:t>
      </w:r>
    </w:p>
    <w:p>
      <w:pPr>
        <w:numPr>
          <w:ilvl w:val="0"/>
          <w:numId w:val="1010"/>
        </w:numPr>
        <w:pStyle w:val="Compact"/>
      </w:pPr>
      <w:r>
        <w:t xml:space="preserve">Last-Mile Delivery Distance: Assumed 500 km</w:t>
      </w:r>
    </w:p>
    <w:p>
      <w:pPr>
        <w:numPr>
          <w:ilvl w:val="0"/>
          <w:numId w:val="1010"/>
        </w:numPr>
        <w:pStyle w:val="Compact"/>
      </w:pPr>
      <w:r>
        <w:t xml:space="preserve">Parcel Delivery Van Emission Factor: 0.25 kg CO2e/km</w:t>
      </w:r>
    </w:p>
    <w:p>
      <w:pPr>
        <w:numPr>
          <w:ilvl w:val="0"/>
          <w:numId w:val="1010"/>
        </w:numPr>
        <w:pStyle w:val="Compact"/>
      </w:pPr>
      <w:r>
        <w:rPr>
          <w:bCs/>
          <w:b/>
        </w:rPr>
        <w:t xml:space="preserve">Scope 3, Category 9 Emissions (Last-Mile):</w:t>
      </w:r>
      <w:r>
        <w:t xml:space="preserve"> </w:t>
      </w:r>
      <w:r>
        <w:t xml:space="preserve">0.25 kg CO2e/km * 500 km =</w:t>
      </w:r>
      <w:r>
        <w:t xml:space="preserve"> </w:t>
      </w:r>
      <w:r>
        <w:rPr>
          <w:bCs/>
          <w:b/>
        </w:rPr>
        <w:t xml:space="preserve">125.00 kg CO2e/delivery</w:t>
      </w:r>
    </w:p>
    <w:p>
      <w:pPr>
        <w:numPr>
          <w:ilvl w:val="0"/>
          <w:numId w:val="1010"/>
        </w:numPr>
        <w:pStyle w:val="Compact"/>
      </w:pPr>
      <w:r>
        <w:rPr>
          <w:iCs/>
          <w:i/>
        </w:rPr>
        <w:t xml:space="preserve">Note:</w:t>
      </w:r>
      <w:r>
        <w:t xml:space="preserve"> </w:t>
      </w:r>
      <w:r>
        <w:t xml:space="preserve">This factor is per km for a van. If this is per single product delivery, the impact is high. For PCF, it implies this delivery carries only this product or the impact is allocated. Assuming the product is the sole item being delivered for illustrative purposes. For a shared delivery, this would be allocated per product or mass.</w:t>
      </w:r>
    </w:p>
    <w:bookmarkEnd w:id="36"/>
    <w:bookmarkStart w:id="37" w:name="category-11-use-of-sold-products"/>
    <w:p>
      <w:pPr>
        <w:pStyle w:val="Heading4"/>
      </w:pPr>
      <w:r>
        <w:t xml:space="preserve">3.3.4. Category 11: Use of Sold Products</w:t>
      </w:r>
    </w:p>
    <w:p>
      <w:pPr>
        <w:pStyle w:val="FirstParagraph"/>
      </w:pPr>
      <w:r>
        <w:t xml:space="preserve">Emissions from energy consumption during the product\'s use phase.</w:t>
      </w:r>
    </w:p>
    <w:p>
      <w:pPr>
        <w:numPr>
          <w:ilvl w:val="0"/>
          <w:numId w:val="1011"/>
        </w:numPr>
        <w:pStyle w:val="Compact"/>
      </w:pPr>
      <w:r>
        <w:t xml:space="preserve">Product Lifespan: mguohrfyvo (Assumed: 3 years)</w:t>
      </w:r>
    </w:p>
    <w:p>
      <w:pPr>
        <w:numPr>
          <w:ilvl w:val="0"/>
          <w:numId w:val="1011"/>
        </w:numPr>
        <w:pStyle w:val="Compact"/>
      </w:pPr>
      <w:r>
        <w:t xml:space="preserve">Energy Consumption in Use: hqpxuzwzfv (Assumed: 0.02 kWh/hour, 8 hours/day)</w:t>
      </w:r>
    </w:p>
    <w:p>
      <w:pPr>
        <w:numPr>
          <w:ilvl w:val="0"/>
          <w:numId w:val="1011"/>
        </w:numPr>
        <w:pStyle w:val="Compact"/>
      </w:pPr>
      <w:r>
        <w:t xml:space="preserve">Annual Use: 0.02 kWh/hour * 8 hours/day * 365 days/year = 58.4 kWh/year</w:t>
      </w:r>
    </w:p>
    <w:p>
      <w:pPr>
        <w:numPr>
          <w:ilvl w:val="0"/>
          <w:numId w:val="1011"/>
        </w:numPr>
        <w:pStyle w:val="Compact"/>
      </w:pPr>
      <w:r>
        <w:t xml:space="preserve">Total Energy Consumption over Lifespan: 58.4 kWh/year * 3 years = 175.2 kWh</w:t>
      </w:r>
    </w:p>
    <w:p>
      <w:pPr>
        <w:numPr>
          <w:ilvl w:val="0"/>
          <w:numId w:val="1011"/>
        </w:numPr>
        <w:pStyle w:val="Compact"/>
      </w:pPr>
      <w:r>
        <w:t xml:space="preserve">Europe Grid Emission Factor (average): 0.25 kg CO2e/kWh (illustrative)</w:t>
      </w:r>
    </w:p>
    <w:p>
      <w:pPr>
        <w:numPr>
          <w:ilvl w:val="0"/>
          <w:numId w:val="1011"/>
        </w:numPr>
        <w:pStyle w:val="Compact"/>
      </w:pPr>
      <w:r>
        <w:rPr>
          <w:bCs/>
          <w:b/>
        </w:rPr>
        <w:t xml:space="preserve">Scope 3, Category 11 Emissions:</w:t>
      </w:r>
      <w:r>
        <w:t xml:space="preserve"> </w:t>
      </w:r>
      <w:r>
        <w:t xml:space="preserve">175.2 kWh * 0.25 kg CO2e/kWh =</w:t>
      </w:r>
      <w:r>
        <w:t xml:space="preserve"> </w:t>
      </w:r>
      <w:r>
        <w:rPr>
          <w:bCs/>
          <w:b/>
        </w:rPr>
        <w:t xml:space="preserve">43.80 kg CO2e/unit</w:t>
      </w:r>
    </w:p>
    <w:bookmarkEnd w:id="37"/>
    <w:bookmarkStart w:id="38" w:name="X9f66eef2700632e081dfe139021cb724ffcd2c5"/>
    <w:p>
      <w:pPr>
        <w:pStyle w:val="Heading4"/>
      </w:pPr>
      <w:r>
        <w:t xml:space="preserve">3.3.5. Category 12: End-of-Life Treatment of Sold Products</w:t>
      </w:r>
    </w:p>
    <w:p>
      <w:pPr>
        <w:pStyle w:val="FirstParagraph"/>
      </w:pPr>
      <w:r>
        <w:t xml:space="preserve">Emissions and credits from disposal and recycling scenarios.</w:t>
      </w:r>
    </w:p>
    <w:p>
      <w:pPr>
        <w:numPr>
          <w:ilvl w:val="0"/>
          <w:numId w:val="1012"/>
        </w:numPr>
        <w:pStyle w:val="Compact"/>
      </w:pPr>
      <w:r>
        <w:t xml:space="preserve">Total Product Mass: 1.4 kg/unit (from BOM example)</w:t>
      </w:r>
    </w:p>
    <w:p>
      <w:pPr>
        <w:numPr>
          <w:ilvl w:val="0"/>
          <w:numId w:val="1012"/>
        </w:numPr>
        <w:pStyle w:val="Compact"/>
      </w:pPr>
      <w:r>
        <w:t xml:space="preserve">Recyclability Percentage: jxzfxnguog (Assumed: 60%)</w:t>
      </w:r>
    </w:p>
    <w:p>
      <w:pPr>
        <w:numPr>
          <w:ilvl w:val="0"/>
          <w:numId w:val="1012"/>
        </w:numPr>
        <w:pStyle w:val="Compact"/>
      </w:pPr>
      <w:r>
        <w:t xml:space="preserve">Mass Recycled: 1.4 kg * 60% = 0.84 kg</w:t>
      </w:r>
    </w:p>
    <w:p>
      <w:pPr>
        <w:numPr>
          <w:ilvl w:val="0"/>
          <w:numId w:val="1012"/>
        </w:numPr>
        <w:pStyle w:val="Compact"/>
      </w:pPr>
      <w:r>
        <w:t xml:space="preserve">Mass Disposed to Landfill: 1.4 kg * 40% = 0.56 kg</w:t>
      </w:r>
    </w:p>
    <w:p>
      <w:pPr>
        <w:numPr>
          <w:ilvl w:val="0"/>
          <w:numId w:val="1012"/>
        </w:numPr>
        <w:pStyle w:val="Compact"/>
      </w:pPr>
      <w:r>
        <w:t xml:space="preserve">Circular/Take-back Programs: imevhzwmuu (Assumed: "Active program in place") - This supports higher recycling rates.</w:t>
      </w:r>
    </w:p>
    <w:p>
      <w:pPr>
        <w:numPr>
          <w:ilvl w:val="0"/>
          <w:numId w:val="1012"/>
        </w:numPr>
        <w:pStyle w:val="Compact"/>
      </w:pPr>
      <w:r>
        <w:t xml:space="preserve">Landfill Emissions: 0.56 kg * 0.15 kg CO2e/kg = 0.08 kg CO2e/unit</w:t>
      </w:r>
    </w:p>
    <w:p>
      <w:pPr>
        <w:numPr>
          <w:ilvl w:val="0"/>
          <w:numId w:val="1012"/>
        </w:numPr>
        <w:pStyle w:val="Compact"/>
      </w:pPr>
      <w:r>
        <w:t xml:space="preserve">Recycling Credit: 0.84 kg * -1.5 kg CO2e/kg = -1.26 kg CO2e/unit</w:t>
      </w:r>
    </w:p>
    <w:p>
      <w:pPr>
        <w:numPr>
          <w:ilvl w:val="0"/>
          <w:numId w:val="1012"/>
        </w:numPr>
        <w:pStyle w:val="Compact"/>
      </w:pPr>
      <w:r>
        <w:rPr>
          <w:bCs/>
          <w:b/>
        </w:rPr>
        <w:t xml:space="preserve">Scope 3, Category 12 Emissions (Net):</w:t>
      </w:r>
      <w:r>
        <w:t xml:space="preserve"> </w:t>
      </w:r>
      <w:r>
        <w:t xml:space="preserve">0.08 kg CO2e/unit - 1.26 kg CO2e/unit =</w:t>
      </w:r>
      <w:r>
        <w:t xml:space="preserve"> </w:t>
      </w:r>
      <w:r>
        <w:rPr>
          <w:bCs/>
          <w:b/>
        </w:rPr>
        <w:t xml:space="preserve">-1.18 kg CO2e/unit</w:t>
      </w:r>
      <w:r>
        <w:t xml:space="preserve"> </w:t>
      </w:r>
      <w:r>
        <w:t xml:space="preserve">(Net credit)</w:t>
      </w:r>
    </w:p>
    <w:bookmarkEnd w:id="38"/>
    <w:bookmarkEnd w:id="39"/>
    <w:bookmarkStart w:id="40" w:name="total-product-carbon-footprint"/>
    <w:p>
      <w:pPr>
        <w:pStyle w:val="Heading3"/>
      </w:pPr>
      <w:r>
        <w:t xml:space="preserve">3.4. Total Product Carbon Footprint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 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4.87</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Category 1: Purchased Goods and Services (Materials)</w:t>
            </w:r>
          </w:p>
        </w:tc>
        <w:tc>
          <w:tcPr/>
          <w:p>
            <w:pPr>
              <w:pStyle w:val="Compact"/>
              <w:jc w:val="left"/>
            </w:pPr>
            <w:r>
              <w:t xml:space="preserve">11.08</w:t>
            </w:r>
          </w:p>
        </w:tc>
      </w:tr>
      <w:tr>
        <w:tc>
          <w:tcPr/>
          <w:p>
            <w:pPr>
              <w:pStyle w:val="Compact"/>
              <w:jc w:val="left"/>
            </w:pPr>
            <w:r>
              <w:t xml:space="preserve">Category 4: Upstream Transportation and Distribution</w:t>
            </w:r>
          </w:p>
        </w:tc>
        <w:tc>
          <w:tcPr/>
          <w:p>
            <w:pPr>
              <w:pStyle w:val="Compact"/>
              <w:jc w:val="left"/>
            </w:pPr>
            <w:r>
              <w:t xml:space="preserve">0.19</w:t>
            </w:r>
          </w:p>
        </w:tc>
      </w:tr>
      <w:tr>
        <w:tc>
          <w:tcPr/>
          <w:p>
            <w:pPr>
              <w:pStyle w:val="Compact"/>
              <w:jc w:val="left"/>
            </w:pPr>
            <w:r>
              <w:t xml:space="preserve">Category 9: Downstream Transportation and Distribution (Last-Mile)</w:t>
            </w:r>
          </w:p>
        </w:tc>
        <w:tc>
          <w:tcPr/>
          <w:p>
            <w:pPr>
              <w:pStyle w:val="Compact"/>
              <w:jc w:val="left"/>
            </w:pPr>
            <w:r>
              <w:t xml:space="preserve">125.00</w:t>
            </w:r>
          </w:p>
        </w:tc>
      </w:tr>
      <w:tr>
        <w:tc>
          <w:tcPr/>
          <w:p>
            <w:pPr>
              <w:pStyle w:val="Compact"/>
              <w:jc w:val="left"/>
            </w:pPr>
            <w:r>
              <w:t xml:space="preserve">Category 11: Use of Sold Products</w:t>
            </w:r>
          </w:p>
        </w:tc>
        <w:tc>
          <w:tcPr/>
          <w:p>
            <w:pPr>
              <w:pStyle w:val="Compact"/>
              <w:jc w:val="left"/>
            </w:pPr>
            <w:r>
              <w:t xml:space="preserve">43.80</w:t>
            </w:r>
          </w:p>
        </w:tc>
      </w:tr>
      <w:tr>
        <w:tc>
          <w:tcPr/>
          <w:p>
            <w:pPr>
              <w:pStyle w:val="Compact"/>
              <w:jc w:val="left"/>
            </w:pPr>
            <w:r>
              <w:t xml:space="preserve">Category 12: End-of-Life Treatment of Sold Products</w:t>
            </w:r>
          </w:p>
        </w:tc>
        <w:tc>
          <w:tcPr/>
          <w:p>
            <w:pPr>
              <w:pStyle w:val="Compact"/>
              <w:jc w:val="left"/>
            </w:pPr>
            <w:r>
              <w:t xml:space="preserve">-1.18</w:t>
            </w:r>
          </w:p>
        </w:tc>
      </w:tr>
      <w:tr>
        <w:tc>
          <w:tcPr/>
          <w:p>
            <w:pPr>
              <w:pStyle w:val="Compact"/>
              <w:jc w:val="left"/>
            </w:pPr>
            <w:r>
              <w:rPr>
                <w:bCs/>
                <w:b/>
              </w:rPr>
              <w:t xml:space="preserve">Total Product Carbon Footprint</w:t>
            </w:r>
          </w:p>
        </w:tc>
        <w:tc>
          <w:tcPr/>
          <w:p>
            <w:pPr>
              <w:pStyle w:val="Compact"/>
              <w:jc w:val="left"/>
            </w:pPr>
            <w:r>
              <w:rPr>
                <w:bCs/>
                <w:b/>
              </w:rPr>
              <w:t xml:space="preserve">183.96 kg CO2e/unit</w:t>
            </w:r>
          </w:p>
        </w:tc>
      </w:tr>
    </w:tbl>
    <w:p>
      <w:pPr>
        <w:pStyle w:val="BodyText"/>
      </w:pPr>
      <w:r>
        <w:rPr>
          <w:iCs/>
          <w:i/>
        </w:rPr>
        <w:t xml:space="preserve">Note: The high impact from "Last-Mile Delivery" (Category 9) is due to assuming the entire van\'s emissions over 500km are attributed to a single unit for illustrative purposes. In practice, this would typically be allocated based on mass or volume for a more accurate per-unit PCF.</w:t>
      </w:r>
    </w:p>
    <w:p>
      <w:r>
        <w:pict>
          <v:rect style="width:0;height:1.5pt" o:hralign="center" o:hrstd="t" o:hr="t"/>
        </w:pict>
      </w:r>
    </w:p>
    <w:bookmarkEnd w:id="40"/>
    <w:bookmarkEnd w:id="41"/>
    <w:bookmarkStart w:id="45" w:name="review-report"/>
    <w:p>
      <w:pPr>
        <w:pStyle w:val="Heading2"/>
      </w:pPr>
      <w:r>
        <w:t xml:space="preserve">4. Review &amp; Report</w:t>
      </w:r>
    </w:p>
    <w:bookmarkStart w:id="42" w:name="summary-of-pcf-results"/>
    <w:p>
      <w:pPr>
        <w:pStyle w:val="Heading3"/>
      </w:pPr>
      <w:r>
        <w:t xml:space="preserve">4.1. Summary of PCF Results</w:t>
      </w:r>
    </w:p>
    <w:p>
      <w:pPr>
        <w:pStyle w:val="FirstParagraph"/>
      </w:pPr>
      <w:r>
        <w:t xml:space="preserve">The total Product Carbon Footprint for fkmsyxtezn is calculated to be</w:t>
      </w:r>
      <w:r>
        <w:t xml:space="preserve"> </w:t>
      </w:r>
      <w:r>
        <w:rPr>
          <w:bCs/>
          <w:b/>
        </w:rPr>
        <w:t xml:space="preserve">183.96 kg CO2e per unit</w:t>
      </w:r>
      <w:r>
        <w:t xml:space="preserve"> </w:t>
      </w:r>
      <w:r>
        <w:t xml:space="preserve">over its full lifecycle. This includes emissions from material acquisition, manufacturing, distribution, use, and end-of-life treatment, demonstrating comprehensive Scope 3 coverage of approximately 99% based on the provided parameters.</w:t>
      </w:r>
    </w:p>
    <w:bookmarkEnd w:id="42"/>
    <w:bookmarkStart w:id="43" w:name="identification-of-hotspots"/>
    <w:p>
      <w:pPr>
        <w:pStyle w:val="Heading3"/>
      </w:pPr>
      <w:r>
        <w:t xml:space="preserve">4.2. Identification of Hotspots</w:t>
      </w:r>
    </w:p>
    <w:p>
      <w:pPr>
        <w:pStyle w:val="FirstParagraph"/>
      </w:pPr>
      <w:r>
        <w:t xml:space="preserve">Based on this analysis, the primary emission hotspots for fkmsyxtezn are:</w:t>
      </w:r>
    </w:p>
    <w:p>
      <w:pPr>
        <w:numPr>
          <w:ilvl w:val="0"/>
          <w:numId w:val="1013"/>
        </w:numPr>
        <w:pStyle w:val="Compact"/>
      </w:pPr>
      <w:r>
        <w:rPr>
          <w:bCs/>
          <w:b/>
        </w:rPr>
        <w:t xml:space="preserve">Downstream Transportation and Distribution (Last-Mile Delivery - Scope 3, Category 9):</w:t>
      </w:r>
      <w:r>
        <w:t xml:space="preserve"> </w:t>
      </w:r>
      <w:r>
        <w:t xml:space="preserve">This category shows the highest impact (125.00 kg CO2e/unit), heavily influenced by the assumed distance and the allocation of a parcel delivery van\'s emissions to a single product unit. Optimizing last-mile logistics, such as consolidating deliveries, using electric vehicles, or promoting local pickup, presents a significant opportunity for reduction.</w:t>
      </w:r>
    </w:p>
    <w:p>
      <w:pPr>
        <w:numPr>
          <w:ilvl w:val="0"/>
          <w:numId w:val="1013"/>
        </w:numPr>
        <w:pStyle w:val="Compact"/>
      </w:pPr>
      <w:r>
        <w:rPr>
          <w:bCs/>
          <w:b/>
        </w:rPr>
        <w:t xml:space="preserve">Use of Sold Products (Scope 3, Category 11):</w:t>
      </w:r>
      <w:r>
        <w:t xml:space="preserve"> </w:t>
      </w:r>
      <w:r>
        <w:t xml:space="preserve">The energy consumption during the product\'s 3-year lifespan contributes substantially (43.80 kg CO2e/unit). Improving energy efficiency of the product and educating users on responsible energy consumption or promoting renewable energy adoption in the use phase are critical.</w:t>
      </w:r>
    </w:p>
    <w:p>
      <w:pPr>
        <w:numPr>
          <w:ilvl w:val="0"/>
          <w:numId w:val="1013"/>
        </w:numPr>
        <w:pStyle w:val="Compact"/>
      </w:pPr>
      <w:r>
        <w:rPr>
          <w:bCs/>
          <w:b/>
        </w:rPr>
        <w:t xml:space="preserve">Purchased Goods and Services (Materials - Scope 3, Category 1):</w:t>
      </w:r>
      <w:r>
        <w:t xml:space="preserve"> </w:t>
      </w:r>
      <w:r>
        <w:t xml:space="preserve">Material extraction and production (11.08 kg CO2e/unit) are also a significant hotspot. Focusing on low-carbon materials, increasing recycled content, and engaging with suppliers for more sustainable production processes will be beneficial.</w:t>
      </w:r>
    </w:p>
    <w:p>
      <w:pPr>
        <w:numPr>
          <w:ilvl w:val="0"/>
          <w:numId w:val="1013"/>
        </w:numPr>
        <w:pStyle w:val="Compact"/>
      </w:pPr>
      <w:r>
        <w:rPr>
          <w:bCs/>
          <w:b/>
        </w:rPr>
        <w:t xml:space="preserve">Production Energy (Scope 2):</w:t>
      </w:r>
      <w:r>
        <w:t xml:space="preserve"> </w:t>
      </w:r>
      <w:r>
        <w:t xml:space="preserve">Emissions from purchased electricity during manufacturing (4.87 kg CO2e/unit) highlight the importance of increasing renewable energy sourcing at the production facility in China (beyond the assumed 30%).</w:t>
      </w:r>
    </w:p>
    <w:bookmarkEnd w:id="43"/>
    <w:bookmarkStart w:id="44" w:name="reliability-and-recommendations"/>
    <w:p>
      <w:pPr>
        <w:pStyle w:val="Heading3"/>
      </w:pPr>
      <w:r>
        <w:t xml:space="preserve">4.3. Reliability and Recommendations</w:t>
      </w:r>
    </w:p>
    <w:p>
      <w:pPr>
        <w:pStyle w:val="FirstParagraph"/>
      </w:pPr>
      <w:r>
        <w:t xml:space="preserve">The reliability of this PCF analysis is contingent upon the accuracy of the provided and assumed data. The use of placeholder values for key parameters (e.g., transport distance, energy consumption) necessitated illustrative numerical assumptions. More precise primary data for each parameter would enhance accuracy. However, the methodology adheres to GHG Protocol standards, providing a robust framework for understanding the product\'s environmental impact.</w:t>
      </w:r>
    </w:p>
    <w:p>
      <w:pPr>
        <w:pStyle w:val="BodyText"/>
      </w:pPr>
      <w:r>
        <w:rPr>
          <w:bCs/>
          <w:b/>
        </w:rPr>
        <w:t xml:space="preserve">Recommendations for wdeiqomwmh to reduce the PCF of fkmsyxtezn:</w:t>
      </w:r>
    </w:p>
    <w:p>
      <w:pPr>
        <w:numPr>
          <w:ilvl w:val="0"/>
          <w:numId w:val="1014"/>
        </w:numPr>
        <w:pStyle w:val="Compact"/>
      </w:pPr>
      <w:r>
        <w:rPr>
          <w:bCs/>
          <w:b/>
        </w:rPr>
        <w:t xml:space="preserve">Optimize Last-Mile Logistics:</w:t>
      </w:r>
      <w:r>
        <w:t xml:space="preserve"> </w:t>
      </w:r>
      <w:r>
        <w:t xml:space="preserve">Investigate opportunities for delivery route optimization, vehicle electrification, or alternative delivery models to reduce the significant impact of downstream transportation.</w:t>
      </w:r>
    </w:p>
    <w:p>
      <w:pPr>
        <w:numPr>
          <w:ilvl w:val="0"/>
          <w:numId w:val="1014"/>
        </w:numPr>
        <w:pStyle w:val="Compact"/>
      </w:pPr>
      <w:r>
        <w:rPr>
          <w:bCs/>
          <w:b/>
        </w:rPr>
        <w:t xml:space="preserve">Enhance Product Energy Efficiency:</w:t>
      </w:r>
      <w:r>
        <w:t xml:space="preserve"> </w:t>
      </w:r>
      <w:r>
        <w:t xml:space="preserve">Design fkmsyxtezn for lower energy consumption during its use phase, and explore options for integration with renewable energy sources for users.</w:t>
      </w:r>
    </w:p>
    <w:p>
      <w:pPr>
        <w:numPr>
          <w:ilvl w:val="0"/>
          <w:numId w:val="1014"/>
        </w:numPr>
        <w:pStyle w:val="Compact"/>
      </w:pPr>
      <w:r>
        <w:rPr>
          <w:bCs/>
          <w:b/>
        </w:rPr>
        <w:t xml:space="preserve">Prioritize Sustainable Materials:</w:t>
      </w:r>
      <w:r>
        <w:t xml:space="preserve"> </w:t>
      </w:r>
      <w:r>
        <w:t xml:space="preserve">Engage with suppliers to increase the recycled content of components and explore materials with inherently lower carbon footprints.</w:t>
      </w:r>
    </w:p>
    <w:p>
      <w:pPr>
        <w:numPr>
          <w:ilvl w:val="0"/>
          <w:numId w:val="1014"/>
        </w:numPr>
        <w:pStyle w:val="Compact"/>
      </w:pPr>
      <w:r>
        <w:rPr>
          <w:bCs/>
          <w:b/>
        </w:rPr>
        <w:t xml:space="preserve">Increase Renewable Energy in Production:</w:t>
      </w:r>
      <w:r>
        <w:t xml:space="preserve"> </w:t>
      </w:r>
      <w:r>
        <w:t xml:space="preserve">Aim to increase the percentage of renewable energy used at the manufacturing facility in China, beyond the current 30% assumed, to significantly reduce Scope 2 emissions.</w:t>
      </w:r>
    </w:p>
    <w:p>
      <w:pPr>
        <w:numPr>
          <w:ilvl w:val="0"/>
          <w:numId w:val="1014"/>
        </w:numPr>
        <w:pStyle w:val="Compact"/>
      </w:pPr>
      <w:r>
        <w:rPr>
          <w:bCs/>
          <w:b/>
        </w:rPr>
        <w:t xml:space="preserve">Strengthen Circular Economy Initiatives:</w:t>
      </w:r>
      <w:r>
        <w:t xml:space="preserve"> </w:t>
      </w:r>
      <w:r>
        <w:t xml:space="preserve">Leverage and expand the assumed "Active product take-back program" (imevhzwmuu) to maximize material recovery and ensure high-quality recycling, further increasing the positive impact of the recyclability percentage (jxzfxnguog).</w:t>
      </w:r>
    </w:p>
    <w:p>
      <w:pPr>
        <w:numPr>
          <w:ilvl w:val="0"/>
          <w:numId w:val="1014"/>
        </w:numPr>
        <w:pStyle w:val="Compact"/>
      </w:pPr>
      <w:r>
        <w:rPr>
          <w:bCs/>
          <w:b/>
        </w:rPr>
        <w:t xml:space="preserve">Data Refinement:</w:t>
      </w:r>
      <w:r>
        <w:t xml:space="preserve"> </w:t>
      </w:r>
      <w:r>
        <w:t xml:space="preserve">Collect more specific data for all placeholder parameters to improve the accuracy and robustness of future PCF analyses.</w:t>
      </w:r>
    </w:p>
    <w:p>
      <w:pPr>
        <w:pStyle w:val="FirstParagraph"/>
      </w:pPr>
      <w:r>
        <w:t xml:space="preserve">Confidential - Internal Use Only | Page X of 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fkmsyxtezn</dc:title>
  <dc:creator/>
  <dc:description>High-detail Product Carbon Footprint (PCF) analysis for fkmsyxtezn by Senior Sustainability Consultant shhleijqzn for wdeiqomwmh, adhering to GHG Protocol and 2026 LSR Update.</dc:description>
  <dc:language>en</dc:language>
  <cp:keywords/>
  <dcterms:created xsi:type="dcterms:W3CDTF">2026-05-30T14:52:25Z</dcterms:created>
  <dcterms:modified xsi:type="dcterms:W3CDTF">2026-05-30T14:52:25Z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