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fhxpsmpkmi</w:t>
      </w:r>
      <w:r>
        <w:t xml:space="preserve"> </w:t>
      </w:r>
      <w:r>
        <w:t xml:space="preserve">-</w:t>
      </w:r>
      <w:r>
        <w:t xml:space="preserve"> </w:t>
      </w:r>
      <w:r>
        <w:t xml:space="preserve">xyywmzvpgd</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fhxpsmpkmi</w:t>
      </w:r>
    </w:p>
    <w:p>
      <w:pPr>
        <w:pStyle w:val="BodyText"/>
      </w:pPr>
      <w:r>
        <w:rPr>
          <w:bCs/>
          <w:b/>
        </w:rPr>
        <w:t xml:space="preserve">Company Name:</w:t>
      </w:r>
      <w:r>
        <w:t xml:space="preserve"> </w:t>
      </w:r>
      <w:r>
        <w:t xml:space="preserve">xyywmzvpgd</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fdytpyfqyk</w:t>
      </w:r>
    </w:p>
    <w:p>
      <w:pPr>
        <w:pStyle w:val="BodyText"/>
      </w:pPr>
      <w:r>
        <w:t xml:space="preserve">Disclaimer: This report is generated based on available data and industry standards, incorporating specific parameters provided. While every effort has been made to ensure accuracy, the results are indicative and subject to the quality and completeness of the input data and the assumptions made regarding generic parameters where specific data was not available.</w:t>
      </w:r>
    </w:p>
    <w:bookmarkEnd w:id="20"/>
    <w:bookmarkStart w:id="21"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21,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fhxpsmpkmi</w:t>
      </w:r>
      <w:r>
        <w:t xml:space="preserve"> </w:t>
      </w:r>
      <w:r>
        <w:t xml:space="preserve">manufactured by</w:t>
      </w:r>
      <w:r>
        <w:t xml:space="preserve"> </w:t>
      </w:r>
      <w:r>
        <w:rPr>
          <w:bCs/>
          <w:b/>
        </w:rPr>
        <w:t xml:space="preserve">xyywmzvpgd</w:t>
      </w:r>
      <w:r>
        <w:t xml:space="preserve">. The analysis, conducted by Senior Sustainability Consultant</w:t>
      </w:r>
      <w:r>
        <w:t xml:space="preserve"> </w:t>
      </w:r>
      <w:r>
        <w:rPr>
          <w:bCs/>
          <w:b/>
        </w:rPr>
        <w:t xml:space="preserve">fdytpyfqyk</w:t>
      </w:r>
      <w:r>
        <w:t xml:space="preserve">, adheres to the Greenhouse Gas (GHG) Protocol\'s Product Standard, encompassing a cradle-to-grave lifecycle assessment with a focus on upstream (materials, manufacturing, transport), use phase, and end-of-life impacts. The report incorporates the latest GHG Protocol updates for 2026, including the Land Sector and Removals (LSR) Standard and the 95% coverage requirement for Scope 3 emissions. The total estimated carbon footprint for one functional unit (1.0 unit) of fhxpsmpkmi is calculated to be</w:t>
      </w:r>
      <w:r>
        <w:t xml:space="preserve"> </w:t>
      </w:r>
      <w:r>
        <w:rPr>
          <w:bCs/>
          <w:b/>
        </w:rPr>
        <w:t xml:space="preserve">29.78 kgCO2e</w:t>
      </w:r>
      <w:r>
        <w:t xml:space="preserve">. Key hotspots are identified, and recommendations for emission reduction are provided.</w:t>
      </w:r>
    </w:p>
    <w:bookmarkEnd w:id="22"/>
    <w:p>
      <w:r>
        <w:pict>
          <v:rect style="width:0;height:1.5pt" o:hralign="center" o:hrstd="t" o:hr="t"/>
        </w:pict>
      </w:r>
    </w:p>
    <w:bookmarkStart w:id="23" w:name="introduction"/>
    <w:p>
      <w:pPr>
        <w:pStyle w:val="Heading2"/>
      </w:pPr>
      <w:r>
        <w:t xml:space="preserve">1. Introduction</w:t>
      </w:r>
    </w:p>
    <w:p>
      <w:pPr>
        <w:pStyle w:val="FirstParagraph"/>
      </w:pPr>
      <w:r>
        <w:t xml:space="preserve">In an increasingly carbon-constrained world, understanding the environmental impact of products is crucial for sustainable business practices. This report details the Product Carbon Footprint (PCF) of</w:t>
      </w:r>
      <w:r>
        <w:t xml:space="preserve"> </w:t>
      </w:r>
      <w:r>
        <w:rPr>
          <w:bCs/>
          <w:b/>
        </w:rPr>
        <w:t xml:space="preserve">fhxpsmpkmi</w:t>
      </w:r>
      <w:r>
        <w:t xml:space="preserve">, providing</w:t>
      </w:r>
      <w:r>
        <w:t xml:space="preserve"> </w:t>
      </w:r>
      <w:r>
        <w:rPr>
          <w:bCs/>
          <w:b/>
        </w:rPr>
        <w:t xml:space="preserve">xyywmzvpgd</w:t>
      </w:r>
      <w:r>
        <w:t xml:space="preserve"> </w:t>
      </w:r>
      <w:r>
        <w:t xml:space="preserve">with insights into its product\'s greenhouse gas (GHG) emissions across its entire lifecycle. The primary goal is to identify emission hotspots and inform strategies for reduction.</w:t>
      </w:r>
    </w:p>
    <w:p>
      <w:pPr>
        <w:numPr>
          <w:ilvl w:val="0"/>
          <w:numId w:val="1001"/>
        </w:numPr>
        <w:pStyle w:val="Compact"/>
      </w:pPr>
      <w:r>
        <w:rPr>
          <w:bCs/>
          <w:b/>
        </w:rPr>
        <w:t xml:space="preserve">Product Name:</w:t>
      </w:r>
      <w:r>
        <w:t xml:space="preserve"> </w:t>
      </w:r>
      <w:r>
        <w:t xml:space="preserve">fhxpsmpkmi</w:t>
      </w:r>
    </w:p>
    <w:p>
      <w:pPr>
        <w:numPr>
          <w:ilvl w:val="0"/>
          <w:numId w:val="1001"/>
        </w:numPr>
        <w:pStyle w:val="Compact"/>
      </w:pPr>
      <w:r>
        <w:rPr>
          <w:bCs/>
          <w:b/>
        </w:rPr>
        <w:t xml:space="preserve">Company Name:</w:t>
      </w:r>
      <w:r>
        <w:t xml:space="preserve"> </w:t>
      </w:r>
      <w:r>
        <w:t xml:space="preserve">xyywmzvpgd</w:t>
      </w:r>
    </w:p>
    <w:p>
      <w:pPr>
        <w:numPr>
          <w:ilvl w:val="0"/>
          <w:numId w:val="1001"/>
        </w:numPr>
        <w:pStyle w:val="Compact"/>
      </w:pPr>
      <w:r>
        <w:rPr>
          <w:bCs/>
          <w:b/>
        </w:rPr>
        <w:t xml:space="preserve">Senior Sustainability Consultant:</w:t>
      </w:r>
      <w:r>
        <w:t xml:space="preserve"> </w:t>
      </w:r>
      <w:r>
        <w:t xml:space="preserve">fdytpyfqyk</w:t>
      </w:r>
    </w:p>
    <w:p>
      <w:pPr>
        <w:numPr>
          <w:ilvl w:val="0"/>
          <w:numId w:val="1001"/>
        </w:numPr>
        <w:pStyle w:val="Compact"/>
      </w:pPr>
      <w:r>
        <w:rPr>
          <w:bCs/>
          <w:b/>
        </w:rPr>
        <w:t xml:space="preserve">Functional Unit:</w:t>
      </w:r>
      <w:r>
        <w:t xml:space="preserve"> </w:t>
      </w:r>
      <w:r>
        <w:t xml:space="preserve">1.0 unit</w:t>
      </w:r>
    </w:p>
    <w:p>
      <w:pPr>
        <w:numPr>
          <w:ilvl w:val="0"/>
          <w:numId w:val="1001"/>
        </w:numPr>
        <w:pStyle w:val="Compact"/>
      </w:pPr>
      <w:r>
        <w:rPr>
          <w:bCs/>
          <w:b/>
        </w:rPr>
        <w:t xml:space="preserve">System Boundary:</w:t>
      </w:r>
      <w:r>
        <w:t xml:space="preserve"> </w:t>
      </w:r>
      <w:r>
        <w:t xml:space="preserve">Cradle-to-grave (following GHG Product Standard guidance, encompassing factory gate operations for Scope 1 &amp; 2, and broader value chain for Scope 3)</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 Product Standard</w:t>
      </w:r>
    </w:p>
    <w:bookmarkEnd w:id="23"/>
    <w:p>
      <w:r>
        <w:pict>
          <v:rect style="width:0;height:1.5pt" o:hralign="center" o:hrstd="t" o:hr="t"/>
        </w:pict>
      </w:r>
    </w:p>
    <w:bookmarkStart w:id="27" w:name="methodology-ghg-protocol-application"/>
    <w:p>
      <w:pPr>
        <w:pStyle w:val="Heading2"/>
      </w:pPr>
      <w:r>
        <w:t xml:space="preserve">2. Methodology: GHG Protocol Application</w:t>
      </w:r>
    </w:p>
    <w:p>
      <w:pPr>
        <w:pStyle w:val="FirstParagraph"/>
      </w:pPr>
      <w:r>
        <w:t xml:space="preserve">This PCF analysis is conducted in accordance with the GHG Protocol Product Life Cycle Accounting and Reporting Standard. This standard provides a globally consistent approach to measure and manage product emissions.</w:t>
      </w:r>
    </w:p>
    <w:bookmarkStart w:id="24" w:name="defining-scope-and-boundaries"/>
    <w:p>
      <w:pPr>
        <w:pStyle w:val="Heading3"/>
      </w:pPr>
      <w:r>
        <w:t xml:space="preserve">2.1. Defining Scope and Boundaries</w:t>
      </w:r>
    </w:p>
    <w:p>
      <w:pPr>
        <w:pStyle w:val="FirstParagraph"/>
      </w:pPr>
      <w:r>
        <w:t xml:space="preserve">The analysis adopts a cradle-to-grave approach, meaning it covers all stages from raw material extraction to the product\'s end-of-life. The functional unit is defined as 1.0 unit of fhxpsmpkmi. System boundaries include:</w:t>
      </w:r>
    </w:p>
    <w:p>
      <w:pPr>
        <w:numPr>
          <w:ilvl w:val="0"/>
          <w:numId w:val="1002"/>
        </w:numPr>
        <w:pStyle w:val="Compact"/>
      </w:pPr>
      <w:r>
        <w:rPr>
          <w:bCs/>
          <w:b/>
        </w:rPr>
        <w:t xml:space="preserve">Upstream (Scope 3):</w:t>
      </w:r>
      <w:r>
        <w:t xml:space="preserve"> </w:t>
      </w:r>
      <w:r>
        <w:t xml:space="preserve">Raw material acquisition, processing, and supplier manufacturing.</w:t>
      </w:r>
    </w:p>
    <w:p>
      <w:pPr>
        <w:numPr>
          <w:ilvl w:val="0"/>
          <w:numId w:val="1002"/>
        </w:numPr>
        <w:pStyle w:val="Compact"/>
      </w:pPr>
      <w:r>
        <w:rPr>
          <w:bCs/>
          <w:b/>
        </w:rPr>
        <w:t xml:space="preserve">Core Operations (Scope 1 &amp; 2):</w:t>
      </w:r>
      <w:r>
        <w:t xml:space="preserve"> </w:t>
      </w:r>
      <w:r>
        <w:t xml:space="preserve">Manufacturing of the product at xyywmzvpgd\'s facility.</w:t>
      </w:r>
    </w:p>
    <w:p>
      <w:pPr>
        <w:numPr>
          <w:ilvl w:val="0"/>
          <w:numId w:val="1002"/>
        </w:numPr>
        <w:pStyle w:val="Compact"/>
      </w:pPr>
      <w:r>
        <w:rPr>
          <w:bCs/>
          <w:b/>
        </w:rPr>
        <w:t xml:space="preserve">Downstream (Scope 3):</w:t>
      </w:r>
      <w:r>
        <w:t xml:space="preserve"> </w:t>
      </w:r>
      <w:r>
        <w:t xml:space="preserve">Transportation to customers, product use phase, and end-of-life disposal/recycling.</w:t>
      </w:r>
    </w:p>
    <w:p>
      <w:pPr>
        <w:pStyle w:val="FirstParagraph"/>
      </w:pPr>
      <w:r>
        <w:t xml:space="preserve">Emissions are categorized into three scopes as defined by the GHG Protocol:</w:t>
      </w:r>
    </w:p>
    <w:p>
      <w:pPr>
        <w:numPr>
          <w:ilvl w:val="0"/>
          <w:numId w:val="1003"/>
        </w:numPr>
        <w:pStyle w:val="Compact"/>
      </w:pPr>
      <w:r>
        <w:rPr>
          <w:bCs/>
          <w:b/>
        </w:rPr>
        <w:t xml:space="preserve">Scope 1: Direct Emissions</w:t>
      </w:r>
      <w:r>
        <w:t xml:space="preserve"> </w:t>
      </w:r>
      <w:r>
        <w:t xml:space="preserve">from sources owned or controlled by the company (e.g., on-site fuel combustion). For this PCF, direct manufacturing emissions are considered negligible or covered by purchased energy unless otherwise specified.</w:t>
      </w:r>
    </w:p>
    <w:p>
      <w:pPr>
        <w:numPr>
          <w:ilvl w:val="0"/>
          <w:numId w:val="1003"/>
        </w:numPr>
        <w:pStyle w:val="Compact"/>
      </w:pPr>
      <w:r>
        <w:rPr>
          <w:bCs/>
          <w:b/>
        </w:rPr>
        <w:t xml:space="preserve">Scope 2: Indirect Emissions from Purchased Energy</w:t>
      </w:r>
      <w:r>
        <w:t xml:space="preserve"> </w:t>
      </w:r>
      <w:r>
        <w:t xml:space="preserve">(e.g., electricity, heat, steam) consumed during manufacturing.</w:t>
      </w:r>
    </w:p>
    <w:p>
      <w:pPr>
        <w:numPr>
          <w:ilvl w:val="0"/>
          <w:numId w:val="1003"/>
        </w:numPr>
        <w:pStyle w:val="Compact"/>
      </w:pPr>
      <w:r>
        <w:rPr>
          <w:bCs/>
          <w:b/>
        </w:rPr>
        <w:t xml:space="preserve">Scope 3: All Other Indirect Emissions</w:t>
      </w:r>
      <w:r>
        <w:t xml:space="preserve"> </w:t>
      </w:r>
      <w:r>
        <w:t xml:space="preserve">occurring in the value chain, both upstream and downstream. This typically represents the largest portion of a product\'s carbon footprint.</w:t>
      </w:r>
    </w:p>
    <w:bookmarkEnd w:id="24"/>
    <w:bookmarkStart w:id="25" w:name="mapping-lifecycle-inventory-stages-lci"/>
    <w:p>
      <w:pPr>
        <w:pStyle w:val="Heading3"/>
      </w:pPr>
      <w:r>
        <w:t xml:space="preserve">2.2. Mapping Lifecycle Inventory Stages (LCI)</w:t>
      </w:r>
    </w:p>
    <w:p>
      <w:pPr>
        <w:pStyle w:val="FirstParagraph"/>
      </w:pPr>
      <w:r>
        <w:t xml:space="preserve">The product lifecycle of fhxpsmpkmi is mapped through the following stages:</w:t>
      </w:r>
    </w:p>
    <w:p>
      <w:pPr>
        <w:numPr>
          <w:ilvl w:val="0"/>
          <w:numId w:val="1004"/>
        </w:numPr>
        <w:pStyle w:val="Compact"/>
      </w:pPr>
      <w:r>
        <w:rPr>
          <w:bCs/>
          <w:b/>
        </w:rPr>
        <w:t xml:space="preserve">Raw Material Acquisition &amp; Pre-processing:</w:t>
      </w:r>
      <w:r>
        <w:t xml:space="preserve"> </w:t>
      </w:r>
      <w:r>
        <w:t xml:space="preserve">Extraction and initial processing of all materials listed in the Bill of Materials (BOM).</w:t>
      </w:r>
    </w:p>
    <w:p>
      <w:pPr>
        <w:numPr>
          <w:ilvl w:val="0"/>
          <w:numId w:val="1004"/>
        </w:numPr>
        <w:pStyle w:val="Compact"/>
      </w:pPr>
      <w:r>
        <w:rPr>
          <w:bCs/>
          <w:b/>
        </w:rPr>
        <w:t xml:space="preserve">Manufacturing:</w:t>
      </w:r>
      <w:r>
        <w:t xml:space="preserve"> </w:t>
      </w:r>
      <w:r>
        <w:t xml:space="preserve">Production of the final product at xyywmzvpgd\'s facility (including energy consumption).</w:t>
      </w:r>
    </w:p>
    <w:p>
      <w:pPr>
        <w:numPr>
          <w:ilvl w:val="0"/>
          <w:numId w:val="1004"/>
        </w:numPr>
        <w:pStyle w:val="Compact"/>
      </w:pPr>
      <w:r>
        <w:rPr>
          <w:bCs/>
          <w:b/>
        </w:rPr>
        <w:t xml:space="preserve">Transportation (Upstream):</w:t>
      </w:r>
      <w:r>
        <w:t xml:space="preserve"> </w:t>
      </w:r>
      <w:r>
        <w:t xml:space="preserve">Movement of raw materials and components to the manufacturing facility.</w:t>
      </w:r>
    </w:p>
    <w:p>
      <w:pPr>
        <w:numPr>
          <w:ilvl w:val="0"/>
          <w:numId w:val="1004"/>
        </w:numPr>
        <w:pStyle w:val="Compact"/>
      </w:pPr>
      <w:r>
        <w:rPr>
          <w:bCs/>
          <w:b/>
        </w:rPr>
        <w:t xml:space="preserve">Transportation (Downstream):</w:t>
      </w:r>
      <w:r>
        <w:t xml:space="preserve"> </w:t>
      </w:r>
      <w:r>
        <w:t xml:space="preserve">Movement of the finished product to the customer, including last-mile delivery.</w:t>
      </w:r>
    </w:p>
    <w:p>
      <w:pPr>
        <w:numPr>
          <w:ilvl w:val="0"/>
          <w:numId w:val="1004"/>
        </w:numPr>
        <w:pStyle w:val="Compact"/>
      </w:pPr>
      <w:r>
        <w:rPr>
          <w:bCs/>
          <w:b/>
        </w:rPr>
        <w:t xml:space="preserve">Use Phase:</w:t>
      </w:r>
      <w:r>
        <w:t xml:space="preserve"> </w:t>
      </w:r>
      <w:r>
        <w:t xml:space="preserve">Energy consumption and other impacts during the product\'s active lifespan.</w:t>
      </w:r>
    </w:p>
    <w:p>
      <w:pPr>
        <w:numPr>
          <w:ilvl w:val="0"/>
          <w:numId w:val="1004"/>
        </w:numPr>
        <w:pStyle w:val="Compact"/>
      </w:pPr>
      <w:r>
        <w:rPr>
          <w:bCs/>
          <w:b/>
        </w:rPr>
        <w:t xml:space="preserve">End-of-Life (EoL):</w:t>
      </w:r>
      <w:r>
        <w:t xml:space="preserve"> </w:t>
      </w:r>
      <w:r>
        <w:t xml:space="preserve">Disposal or recycling of the product at the end of its useful life.</w:t>
      </w:r>
    </w:p>
    <w:bookmarkEnd w:id="25"/>
    <w:bookmarkStart w:id="26" w:name="ghg-protocol-updates"/>
    <w:p>
      <w:pPr>
        <w:pStyle w:val="Heading3"/>
      </w:pPr>
      <w:r>
        <w:t xml:space="preserve">2.3. 2026 GHG Protocol Updates</w:t>
      </w:r>
    </w:p>
    <w:p>
      <w:pPr>
        <w:pStyle w:val="FirstParagraph"/>
      </w:pPr>
      <w:r>
        <w:t xml:space="preserve">This analysis incorporates the latest developments in GHG Protocol standards:</w:t>
      </w:r>
    </w:p>
    <w:p>
      <w:pPr>
        <w:numPr>
          <w:ilvl w:val="0"/>
          <w:numId w:val="1005"/>
        </w:numPr>
        <w:pStyle w:val="Compact"/>
      </w:pPr>
      <w:r>
        <w:rPr>
          <w:bCs/>
          <w:b/>
        </w:rPr>
        <w:t xml:space="preserve">Land Sector and Removals (LSR) Standard:</w:t>
      </w:r>
      <w:r>
        <w:t xml:space="preserve"> </w:t>
      </w:r>
      <w:r>
        <w:t xml:space="preserve">While the LSR Standard officially takes effect on January 1, 2027, its principles for accounting for land-based emissions and CO2 removals are considered. This standard is particularly relevant for raw materials with agricultural or forestry origins. Although specific land-use emissions for the provided BOM components were not explicitly detailed, the importance of this standard for future, more granular analyses of land-intensive materials is acknowledged.</w:t>
      </w:r>
    </w:p>
    <w:p>
      <w:pPr>
        <w:numPr>
          <w:ilvl w:val="0"/>
          <w:numId w:val="1005"/>
        </w:numPr>
        <w:pStyle w:val="Compact"/>
      </w:pPr>
      <w:r>
        <w:rPr>
          <w:bCs/>
          <w:b/>
        </w:rPr>
        <w:t xml:space="preserve">Scope 3 Compliance (95% Coverage):</w:t>
      </w:r>
      <w:r>
        <w:t xml:space="preserve"> </w:t>
      </w:r>
      <w:r>
        <w:t xml:space="preserve">As per 2026 requirements, efforts have been made to ensure at least 95% coverage for Scope 3 reporting. This mandates a comprehensive approach to identifying and quantifying all relevant indirect emissions across the value chain, moving towards financial-grade, auditable systems.</w:t>
      </w:r>
    </w:p>
    <w:bookmarkEnd w:id="26"/>
    <w:bookmarkEnd w:id="27"/>
    <w:p>
      <w:r>
        <w:pict>
          <v:rect style="width:0;height:1.5pt" o:hralign="center" o:hrstd="t" o:hr="t"/>
        </w:pict>
      </w:r>
    </w:p>
    <w:bookmarkStart w:id="33" w:name="data-collection-and-assumptions"/>
    <w:p>
      <w:pPr>
        <w:pStyle w:val="Heading2"/>
      </w:pPr>
      <w:r>
        <w:t xml:space="preserve">3. Data Collection and Assumptions</w:t>
      </w:r>
    </w:p>
    <w:p>
      <w:pPr>
        <w:pStyle w:val="FirstParagraph"/>
      </w:pPr>
      <w:r>
        <w:t xml:space="preserve">Primary and secondary data points were collected and utilized for the PCF calculation. Due to the placeholder nature of some input parameters, specific assumptions were made based on typical industry values and publicly available emission factors (e.g., Ecoinvent, DEFRA), as noted below. These assumptions are clearly stated to ensure transparency and can be refined with more specific primary data in future iterations.</w:t>
      </w:r>
    </w:p>
    <w:bookmarkStart w:id="28" w:name="detailed-bill-of-materials-bom-vdhgtwdi"/>
    <w:p>
      <w:pPr>
        <w:pStyle w:val="Heading3"/>
      </w:pPr>
      <w:r>
        <w:t xml:space="preserve">3.1. Detailed Bill of Materials (BOM): vdhgtwdi</w:t>
      </w:r>
    </w:p>
    <w:p>
      <w:pPr>
        <w:pStyle w:val="FirstParagraph"/>
      </w:pPr>
      <w:r>
        <w:t xml:space="preserve">The following detailed Bill of Materials (BOM) was used for high-accuracy material impact calculation. The \'Total Carbon\' value for each item, representing its embodied emissions from raw material extraction to component production, is directly used.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C-001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C-002</w:t>
            </w:r>
          </w:p>
        </w:tc>
        <w:tc>
          <w:tcPr/>
          <w:p>
            <w:pPr>
              <w:pStyle w:val="Compact"/>
              <w:jc w:val="left"/>
            </w:pPr>
            <w:r>
              <w:t xml:space="preserve">Aluminum Fasteners</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C-003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3.00</w:t>
            </w:r>
          </w:p>
        </w:tc>
      </w:tr>
    </w:tbl>
    <w:p>
      <w:pPr>
        <w:pStyle w:val="BodyText"/>
      </w:pPr>
      <w:r>
        <w:rPr>
          <w:bCs/>
          <w:b/>
        </w:rPr>
        <w:t xml:space="preserve">Total Material Emissions (Scope 3 - Purchased Goods &amp; Services): 4.65 kgCO2e</w:t>
      </w:r>
    </w:p>
    <w:p>
      <w:pPr>
        <w:pStyle w:val="BodyText"/>
      </w:pPr>
      <w:r>
        <w:rPr>
          <w:iCs/>
          <w:i/>
        </w:rPr>
        <w:t xml:space="preserve">Emission factors for materials are based on industry-standard databases like Ecoinvent (e.g., average production conditions in specified regions).</w:t>
      </w:r>
    </w:p>
    <w:bookmarkEnd w:id="28"/>
    <w:bookmarkStart w:id="29" w:name="production-energy-customization-data"/>
    <w:p>
      <w:pPr>
        <w:pStyle w:val="Heading3"/>
      </w:pPr>
      <w:r>
        <w:t xml:space="preserve">3.2. Production Energy Customization Data</w:t>
      </w:r>
    </w:p>
    <w:p>
      <w:pPr>
        <w:numPr>
          <w:ilvl w:val="0"/>
          <w:numId w:val="1006"/>
        </w:numPr>
        <w:pStyle w:val="Compact"/>
      </w:pPr>
      <w:r>
        <w:rPr>
          <w:bCs/>
          <w:b/>
        </w:rPr>
        <w:t xml:space="preserve">Energy Intensity (kWh/unit):</w:t>
      </w:r>
      <w:r>
        <w:t xml:space="preserve"> </w:t>
      </w:r>
      <w:r>
        <w:t xml:space="preserve">25 kWh/unit (for manufacturing product fhxpsmpkmi)</w:t>
      </w:r>
    </w:p>
    <w:p>
      <w:pPr>
        <w:numPr>
          <w:ilvl w:val="0"/>
          <w:numId w:val="1006"/>
        </w:numPr>
        <w:pStyle w:val="Compact"/>
      </w:pPr>
      <w:r>
        <w:rPr>
          <w:bCs/>
          <w:b/>
        </w:rPr>
        <w:t xml:space="preserve">Renewable Energy Usage:</w:t>
      </w:r>
      <w:r>
        <w:t xml:space="preserve"> </w:t>
      </w:r>
      <w:r>
        <w:t xml:space="preserve">60% (of total purchased electricity)</w:t>
      </w:r>
    </w:p>
    <w:p>
      <w:pPr>
        <w:numPr>
          <w:ilvl w:val="0"/>
          <w:numId w:val="1006"/>
        </w:numPr>
        <w:pStyle w:val="Compact"/>
      </w:pPr>
      <w:r>
        <w:rPr>
          <w:bCs/>
          <w:b/>
        </w:rPr>
        <w:t xml:space="preserve">Non-renewable electricity consumed:</w:t>
      </w:r>
      <w:r>
        <w:t xml:space="preserve"> </w:t>
      </w:r>
      <w:r>
        <w:t xml:space="preserve">25 kWh/unit * (1 - 0.60) = 10 kWh/unit</w:t>
      </w:r>
    </w:p>
    <w:p>
      <w:pPr>
        <w:numPr>
          <w:ilvl w:val="0"/>
          <w:numId w:val="1006"/>
        </w:numPr>
        <w:pStyle w:val="Compact"/>
      </w:pPr>
      <w:r>
        <w:rPr>
          <w:bCs/>
          <w:b/>
        </w:rPr>
        <w:t xml:space="preserve">Grid Emission Factor (China):</w:t>
      </w:r>
      <w:r>
        <w:t xml:space="preserve"> </w:t>
      </w:r>
      <w:r>
        <w:t xml:space="preserve">An average of 0.65 kg CO2e/kWh is used for non-renewable electricity consumption, reflecting the regional electricity mix for production in China.</w:t>
      </w:r>
    </w:p>
    <w:p>
      <w:pPr>
        <w:pStyle w:val="FirstParagraph"/>
      </w:pPr>
      <w:r>
        <w:rPr>
          <w:bCs/>
          <w:b/>
        </w:rPr>
        <w:t xml:space="preserve">Manufacturing Electricity Emissions (Scope 2):</w:t>
      </w:r>
      <w:r>
        <w:t xml:space="preserve"> </w:t>
      </w:r>
      <w:r>
        <w:t xml:space="preserve">10 kWh/unit * 0.65 kg CO2e/kWh =</w:t>
      </w:r>
      <w:r>
        <w:t xml:space="preserve"> </w:t>
      </w:r>
      <w:r>
        <w:rPr>
          <w:bCs/>
          <w:b/>
        </w:rPr>
        <w:t xml:space="preserve">6.50 kgCO2e</w:t>
      </w:r>
    </w:p>
    <w:bookmarkEnd w:id="29"/>
    <w:bookmarkStart w:id="30" w:name="logistics-data"/>
    <w:p>
      <w:pPr>
        <w:pStyle w:val="Heading3"/>
      </w:pPr>
      <w:r>
        <w:t xml:space="preserve">3.3. Logistics Data</w:t>
      </w:r>
    </w:p>
    <w:p>
      <w:pPr>
        <w:pStyle w:val="FirstParagraph"/>
      </w:pPr>
      <w:r>
        <w:t xml:space="preserve">The following transport parameters were incorporated, with assumed values for generic inputs:</w:t>
      </w:r>
    </w:p>
    <w:p>
      <w:pPr>
        <w:numPr>
          <w:ilvl w:val="0"/>
          <w:numId w:val="1007"/>
        </w:numPr>
        <w:pStyle w:val="Compact"/>
      </w:pPr>
      <w:r>
        <w:rPr>
          <w:bCs/>
          <w:b/>
        </w:rPr>
        <w:t xml:space="preserve">Upstream Transport Mode (Select Mode):</w:t>
      </w:r>
      <w:r>
        <w:t xml:space="preserve"> </w:t>
      </w:r>
      <w:r>
        <w:t xml:space="preserve">Ocean Freight</w:t>
      </w:r>
    </w:p>
    <w:p>
      <w:pPr>
        <w:numPr>
          <w:ilvl w:val="0"/>
          <w:numId w:val="1007"/>
        </w:numPr>
        <w:pStyle w:val="Compact"/>
      </w:pPr>
      <w:r>
        <w:rPr>
          <w:bCs/>
          <w:b/>
        </w:rPr>
        <w:t xml:space="preserve">Upstream Transport Distance (mrlhfqpklv):</w:t>
      </w:r>
      <w:r>
        <w:t xml:space="preserve"> </w:t>
      </w:r>
      <w:r>
        <w:t xml:space="preserve">8000 km</w:t>
      </w:r>
    </w:p>
    <w:p>
      <w:pPr>
        <w:numPr>
          <w:ilvl w:val="0"/>
          <w:numId w:val="1007"/>
        </w:numPr>
        <w:pStyle w:val="Compact"/>
      </w:pPr>
      <w:r>
        <w:rPr>
          <w:bCs/>
          <w:b/>
        </w:rPr>
        <w:t xml:space="preserve">Downstream Last-Mile Delivery Channel (Delivery Type):</w:t>
      </w:r>
      <w:r>
        <w:t xml:space="preserve"> </w:t>
      </w:r>
      <w:r>
        <w:t xml:space="preserve">Road Freight (Light Commercial Vehicle)</w:t>
      </w:r>
    </w:p>
    <w:p>
      <w:pPr>
        <w:numPr>
          <w:ilvl w:val="0"/>
          <w:numId w:val="1007"/>
        </w:numPr>
        <w:pStyle w:val="Compact"/>
      </w:pPr>
      <w:r>
        <w:rPr>
          <w:bCs/>
          <w:b/>
        </w:rPr>
        <w:t xml:space="preserve">Downstream Last-Mile Distance (assumed):</w:t>
      </w:r>
      <w:r>
        <w:t xml:space="preserve"> </w:t>
      </w:r>
      <w:r>
        <w:t xml:space="preserve">500 km</w:t>
      </w:r>
    </w:p>
    <w:p>
      <w:pPr>
        <w:numPr>
          <w:ilvl w:val="0"/>
          <w:numId w:val="1007"/>
        </w:numPr>
        <w:pStyle w:val="Compact"/>
      </w:pPr>
      <w:r>
        <w:rPr>
          <w:bCs/>
          <w:b/>
        </w:rPr>
        <w:t xml:space="preserve">Assumed Product Weight for Transport:</w:t>
      </w:r>
      <w:r>
        <w:t xml:space="preserve"> </w:t>
      </w:r>
      <w:r>
        <w:t xml:space="preserve">5 kg (0.005 tonnes)</w:t>
      </w:r>
    </w:p>
    <w:p>
      <w:pPr>
        <w:pStyle w:val="FirstParagraph"/>
      </w:pPr>
      <w:r>
        <w:rPr>
          <w:bCs/>
          <w:b/>
        </w:rPr>
        <w:t xml:space="preserve">Emission Factors for Transport (based on DEFRA and industry averages):</w:t>
      </w:r>
    </w:p>
    <w:p>
      <w:pPr>
        <w:numPr>
          <w:ilvl w:val="0"/>
          <w:numId w:val="1008"/>
        </w:numPr>
        <w:pStyle w:val="Compact"/>
      </w:pPr>
      <w:r>
        <w:rPr>
          <w:bCs/>
          <w:b/>
        </w:rPr>
        <w:t xml:space="preserve">Ocean Freight (container ship):</w:t>
      </w:r>
      <w:r>
        <w:t xml:space="preserve"> </w:t>
      </w:r>
      <w:r>
        <w:t xml:space="preserve">0.01 kg CO2e/tkm (tonne-kilometer)</w:t>
      </w:r>
    </w:p>
    <w:p>
      <w:pPr>
        <w:numPr>
          <w:ilvl w:val="0"/>
          <w:numId w:val="1008"/>
        </w:numPr>
        <w:pStyle w:val="Compact"/>
      </w:pPr>
      <w:r>
        <w:rPr>
          <w:bCs/>
          <w:b/>
        </w:rPr>
        <w:t xml:space="preserve">Road Freight (Light Commercial Vehicle):</w:t>
      </w:r>
      <w:r>
        <w:t xml:space="preserve"> </w:t>
      </w:r>
      <w:r>
        <w:t xml:space="preserve">0.15 kg CO2e/tkm (reflecting typical efficiency for smaller, last-mile delivery vehicles)</w:t>
      </w:r>
    </w:p>
    <w:p>
      <w:pPr>
        <w:pStyle w:val="FirstParagraph"/>
      </w:pPr>
      <w:r>
        <w:rPr>
          <w:bCs/>
          <w:b/>
        </w:rPr>
        <w:t xml:space="preserve">Upstream Transport Emissions (Scope 3 - Transport &amp; Distribution):</w:t>
      </w:r>
      <w:r>
        <w:t xml:space="preserve"> </w:t>
      </w:r>
      <w:r>
        <w:t xml:space="preserve">8000 km * 0.005 tonnes * 0.01 kg CO2e/tkm =</w:t>
      </w:r>
      <w:r>
        <w:t xml:space="preserve"> </w:t>
      </w:r>
      <w:r>
        <w:rPr>
          <w:bCs/>
          <w:b/>
        </w:rPr>
        <w:t xml:space="preserve">0.40 kgCO2e</w:t>
      </w:r>
    </w:p>
    <w:p>
      <w:pPr>
        <w:pStyle w:val="BodyText"/>
      </w:pPr>
      <w:r>
        <w:rPr>
          <w:bCs/>
          <w:b/>
        </w:rPr>
        <w:t xml:space="preserve">Downstream Last-Mile Emissions (Scope 3 - Transport &amp; Distribution):</w:t>
      </w:r>
      <w:r>
        <w:t xml:space="preserve"> </w:t>
      </w:r>
      <w:r>
        <w:t xml:space="preserve">500 km * 0.005 tonnes * 0.15 kg CO2e/tkm =</w:t>
      </w:r>
      <w:r>
        <w:t xml:space="preserve"> </w:t>
      </w:r>
      <w:r>
        <w:rPr>
          <w:bCs/>
          <w:b/>
        </w:rPr>
        <w:t xml:space="preserve">0.38 kgCO2e</w:t>
      </w:r>
    </w:p>
    <w:bookmarkEnd w:id="30"/>
    <w:bookmarkStart w:id="31" w:name="use-phase-data"/>
    <w:p>
      <w:pPr>
        <w:pStyle w:val="Heading3"/>
      </w:pPr>
      <w:r>
        <w:t xml:space="preserve">3.4. Use Phase Data</w:t>
      </w:r>
    </w:p>
    <w:p>
      <w:pPr>
        <w:numPr>
          <w:ilvl w:val="0"/>
          <w:numId w:val="1009"/>
        </w:numPr>
        <w:pStyle w:val="Compact"/>
      </w:pPr>
      <w:r>
        <w:rPr>
          <w:bCs/>
          <w:b/>
        </w:rPr>
        <w:t xml:space="preserve">Product Lifespan (elnndvszht):</w:t>
      </w:r>
      <w:r>
        <w:t xml:space="preserve"> </w:t>
      </w:r>
      <w:r>
        <w:t xml:space="preserve">3 years</w:t>
      </w:r>
    </w:p>
    <w:p>
      <w:pPr>
        <w:numPr>
          <w:ilvl w:val="0"/>
          <w:numId w:val="1009"/>
        </w:numPr>
        <w:pStyle w:val="Compact"/>
      </w:pPr>
      <w:r>
        <w:rPr>
          <w:bCs/>
          <w:b/>
        </w:rPr>
        <w:t xml:space="preserve">Energy Consumption in Use (pwrdzjlhgi):</w:t>
      </w:r>
      <w:r>
        <w:t xml:space="preserve"> </w:t>
      </w:r>
      <w:r>
        <w:t xml:space="preserve">8 kWh/year</w:t>
      </w:r>
    </w:p>
    <w:p>
      <w:pPr>
        <w:numPr>
          <w:ilvl w:val="0"/>
          <w:numId w:val="1009"/>
        </w:numPr>
        <w:pStyle w:val="Compact"/>
      </w:pPr>
      <w:r>
        <w:rPr>
          <w:bCs/>
          <w:b/>
        </w:rPr>
        <w:t xml:space="preserve">Total Energy Consumption over Lifespan:</w:t>
      </w:r>
      <w:r>
        <w:t xml:space="preserve"> </w:t>
      </w:r>
      <w:r>
        <w:t xml:space="preserve">8 kWh/year * 3 years = 24 kWh/unit</w:t>
      </w:r>
    </w:p>
    <w:p>
      <w:pPr>
        <w:numPr>
          <w:ilvl w:val="0"/>
          <w:numId w:val="1009"/>
        </w:numPr>
        <w:pStyle w:val="Compact"/>
      </w:pPr>
      <w:r>
        <w:rPr>
          <w:bCs/>
          <w:b/>
        </w:rPr>
        <w:t xml:space="preserve">Electricity Grid Emission Factor (User Location assumed China/average):</w:t>
      </w:r>
      <w:r>
        <w:t xml:space="preserve"> </w:t>
      </w:r>
      <w:r>
        <w:t xml:space="preserve">0.65 kg CO2e/kWh</w:t>
      </w:r>
    </w:p>
    <w:p>
      <w:pPr>
        <w:pStyle w:val="FirstParagraph"/>
      </w:pPr>
      <w:r>
        <w:rPr>
          <w:bCs/>
          <w:b/>
        </w:rPr>
        <w:t xml:space="preserve">Use Phase Emissions (Scope 3 - Use of Sold Products):</w:t>
      </w:r>
      <w:r>
        <w:t xml:space="preserve"> </w:t>
      </w:r>
      <w:r>
        <w:t xml:space="preserve">24 kWh/unit * 0.65 kg CO2e/kWh =</w:t>
      </w:r>
      <w:r>
        <w:t xml:space="preserve"> </w:t>
      </w:r>
      <w:r>
        <w:rPr>
          <w:bCs/>
          <w:b/>
        </w:rPr>
        <w:t xml:space="preserve">15.60 kgCO2e</w:t>
      </w:r>
    </w:p>
    <w:bookmarkEnd w:id="31"/>
    <w:bookmarkStart w:id="32" w:name="end-of-life-eol-scenarios"/>
    <w:p>
      <w:pPr>
        <w:pStyle w:val="Heading3"/>
      </w:pPr>
      <w:r>
        <w:t xml:space="preserve">3.5. End-of-Life (EoL) Scenarios</w:t>
      </w:r>
    </w:p>
    <w:p>
      <w:pPr>
        <w:numPr>
          <w:ilvl w:val="0"/>
          <w:numId w:val="1010"/>
        </w:numPr>
        <w:pStyle w:val="Compact"/>
      </w:pPr>
      <w:r>
        <w:rPr>
          <w:bCs/>
          <w:b/>
        </w:rPr>
        <w:t xml:space="preserve">Recyclability Percentage (vomrjdvxzy):</w:t>
      </w:r>
      <w:r>
        <w:t xml:space="preserve"> </w:t>
      </w:r>
      <w:r>
        <w:t xml:space="preserve">70%</w:t>
      </w:r>
    </w:p>
    <w:p>
      <w:pPr>
        <w:numPr>
          <w:ilvl w:val="0"/>
          <w:numId w:val="1010"/>
        </w:numPr>
        <w:pStyle w:val="Compact"/>
      </w:pPr>
      <w:r>
        <w:rPr>
          <w:bCs/>
          <w:b/>
        </w:rPr>
        <w:t xml:space="preserve">Circular/Take-back Programs (qlvydgzxht):</w:t>
      </w:r>
      <w:r>
        <w:t xml:space="preserve"> </w:t>
      </w:r>
      <w:r>
        <w:t xml:space="preserve">Yes, active take-back program</w:t>
      </w:r>
    </w:p>
    <w:p>
      <w:pPr>
        <w:numPr>
          <w:ilvl w:val="0"/>
          <w:numId w:val="1010"/>
        </w:numPr>
        <w:pStyle w:val="Compact"/>
      </w:pPr>
      <w:r>
        <w:rPr>
          <w:bCs/>
          <w:b/>
        </w:rPr>
        <w:t xml:space="preserve">Product Weight for EoL:</w:t>
      </w:r>
      <w:r>
        <w:t xml:space="preserve"> </w:t>
      </w:r>
      <w:r>
        <w:t xml:space="preserve">5 kg</w:t>
      </w:r>
    </w:p>
    <w:p>
      <w:pPr>
        <w:numPr>
          <w:ilvl w:val="0"/>
          <w:numId w:val="1010"/>
        </w:numPr>
        <w:pStyle w:val="Compact"/>
      </w:pPr>
      <w:r>
        <w:rPr>
          <w:bCs/>
          <w:b/>
        </w:rPr>
        <w:t xml:space="preserve">Waste for disposal:</w:t>
      </w:r>
      <w:r>
        <w:t xml:space="preserve"> </w:t>
      </w:r>
      <w:r>
        <w:t xml:space="preserve">5 kg * (1 - 0.70) = 1.5 kg</w:t>
      </w:r>
    </w:p>
    <w:p>
      <w:pPr>
        <w:numPr>
          <w:ilvl w:val="0"/>
          <w:numId w:val="1010"/>
        </w:numPr>
        <w:pStyle w:val="Compact"/>
      </w:pPr>
      <w:r>
        <w:rPr>
          <w:bCs/>
          <w:b/>
        </w:rPr>
        <w:t xml:space="preserve">EoL Emission Factor (General Waste to Landfill/Incineration):</w:t>
      </w:r>
      <w:r>
        <w:t xml:space="preserve"> </w:t>
      </w:r>
      <w:r>
        <w:t xml:space="preserve">1.5 kg CO2e/kg (for the non-recycled portion)</w:t>
      </w:r>
    </w:p>
    <w:p>
      <w:pPr>
        <w:pStyle w:val="FirstParagraph"/>
      </w:pPr>
      <w:r>
        <w:t xml:space="preserve">The active take-back program reinforces the achievement of the high recyclability rate, potentially leading to avoided emissions from virgin material production in subsequent cycles. For this calculation, we account for the emissions of the portion that is not recycled.</w:t>
      </w:r>
    </w:p>
    <w:p>
      <w:pPr>
        <w:pStyle w:val="BodyText"/>
      </w:pPr>
      <w:r>
        <w:rPr>
          <w:bCs/>
          <w:b/>
        </w:rPr>
        <w:t xml:space="preserve">End-of-Life Emissions (Scope 3 - End-of-Life Treatment of Sold Products):</w:t>
      </w:r>
      <w:r>
        <w:t xml:space="preserve"> </w:t>
      </w:r>
      <w:r>
        <w:t xml:space="preserve">1.5 kg * 1.5 kg CO2e/kg =</w:t>
      </w:r>
      <w:r>
        <w:t xml:space="preserve"> </w:t>
      </w:r>
      <w:r>
        <w:rPr>
          <w:bCs/>
          <w:b/>
        </w:rPr>
        <w:t xml:space="preserve">2.25 kgCO2e</w:t>
      </w:r>
    </w:p>
    <w:bookmarkEnd w:id="32"/>
    <w:bookmarkEnd w:id="33"/>
    <w:p>
      <w:r>
        <w:pict>
          <v:rect style="width:0;height:1.5pt" o:hralign="center" o:hrstd="t" o:hr="t"/>
        </w:pict>
      </w:r>
    </w:p>
    <w:bookmarkStart w:id="37" w:name="emission-calculation-and-analysis"/>
    <w:p>
      <w:pPr>
        <w:pStyle w:val="Heading2"/>
      </w:pPr>
      <w:r>
        <w:t xml:space="preserve">4. Emission Calculation and Analysis</w:t>
      </w:r>
    </w:p>
    <w:p>
      <w:pPr>
        <w:pStyle w:val="FirstParagraph"/>
      </w:pPr>
      <w:r>
        <w:t xml:space="preserve">The total Product Carbon Footprint (PCF) for one functional unit of fhxpsmpkmi is the sum of emissions across all lifecycle stages, categorized by GHG Protocol scopes.</w:t>
      </w:r>
    </w:p>
    <w:bookmarkStart w:id="34" w:name="summary-of-product-carbon-footprint-pcf"/>
    <w:p>
      <w:pPr>
        <w:pStyle w:val="Heading3"/>
      </w:pPr>
      <w:r>
        <w:t xml:space="preserve">4.1. Summary of Product Carbon Footprint (PCF)</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 of Total PCF</w:t>
            </w:r>
          </w:p>
        </w:tc>
      </w:tr>
      <w:tr>
        <w:tc>
          <w:tcPr/>
          <w:p>
            <w:pPr>
              <w:pStyle w:val="Compact"/>
              <w:jc w:val="left"/>
            </w:pPr>
            <w:r>
              <w:t xml:space="preserve">Materials (Purchased Goods)</w:t>
            </w:r>
          </w:p>
        </w:tc>
        <w:tc>
          <w:tcPr/>
          <w:p>
            <w:pPr>
              <w:pStyle w:val="Compact"/>
              <w:jc w:val="left"/>
            </w:pPr>
            <w:r>
              <w:t xml:space="preserve">Scope 3 (Upstream)</w:t>
            </w:r>
          </w:p>
        </w:tc>
        <w:tc>
          <w:tcPr/>
          <w:p>
            <w:pPr>
              <w:pStyle w:val="Compact"/>
              <w:jc w:val="left"/>
            </w:pPr>
            <w:r>
              <w:t xml:space="preserve">4.65</w:t>
            </w:r>
          </w:p>
        </w:tc>
        <w:tc>
          <w:tcPr/>
          <w:p>
            <w:pPr>
              <w:pStyle w:val="Compact"/>
              <w:jc w:val="left"/>
            </w:pPr>
            <w:r>
              <w:t xml:space="preserve">15.62%</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6.50</w:t>
            </w:r>
          </w:p>
        </w:tc>
        <w:tc>
          <w:tcPr/>
          <w:p>
            <w:pPr>
              <w:pStyle w:val="Compact"/>
              <w:jc w:val="left"/>
            </w:pPr>
            <w:r>
              <w:t xml:space="preserve">21.83%</w:t>
            </w:r>
          </w:p>
        </w:tc>
      </w:tr>
      <w:tr>
        <w:tc>
          <w:tcPr/>
          <w:p>
            <w:pPr>
              <w:pStyle w:val="Compact"/>
              <w:jc w:val="left"/>
            </w:pPr>
            <w:r>
              <w:t xml:space="preserve">Transport (Upstream Logistics)</w:t>
            </w:r>
          </w:p>
        </w:tc>
        <w:tc>
          <w:tcPr/>
          <w:p>
            <w:pPr>
              <w:pStyle w:val="Compact"/>
              <w:jc w:val="left"/>
            </w:pPr>
            <w:r>
              <w:t xml:space="preserve">Scope 3 (Upstream)</w:t>
            </w:r>
          </w:p>
        </w:tc>
        <w:tc>
          <w:tcPr/>
          <w:p>
            <w:pPr>
              <w:pStyle w:val="Compact"/>
              <w:jc w:val="left"/>
            </w:pPr>
            <w:r>
              <w:t xml:space="preserve">0.40</w:t>
            </w:r>
          </w:p>
        </w:tc>
        <w:tc>
          <w:tcPr/>
          <w:p>
            <w:pPr>
              <w:pStyle w:val="Compact"/>
              <w:jc w:val="left"/>
            </w:pPr>
            <w:r>
              <w:t xml:space="preserve">1.34%</w:t>
            </w:r>
          </w:p>
        </w:tc>
      </w:tr>
      <w:tr>
        <w:tc>
          <w:tcPr/>
          <w:p>
            <w:pPr>
              <w:pStyle w:val="Compact"/>
              <w:jc w:val="left"/>
            </w:pPr>
            <w:r>
              <w:t xml:space="preserve">Transport (Downstream Last-Mile)</w:t>
            </w:r>
          </w:p>
        </w:tc>
        <w:tc>
          <w:tcPr/>
          <w:p>
            <w:pPr>
              <w:pStyle w:val="Compact"/>
              <w:jc w:val="left"/>
            </w:pPr>
            <w:r>
              <w:t xml:space="preserve">Scope 3 (Downstream)</w:t>
            </w:r>
          </w:p>
        </w:tc>
        <w:tc>
          <w:tcPr/>
          <w:p>
            <w:pPr>
              <w:pStyle w:val="Compact"/>
              <w:jc w:val="left"/>
            </w:pPr>
            <w:r>
              <w:t xml:space="preserve">0.38</w:t>
            </w:r>
          </w:p>
        </w:tc>
        <w:tc>
          <w:tcPr/>
          <w:p>
            <w:pPr>
              <w:pStyle w:val="Compact"/>
              <w:jc w:val="left"/>
            </w:pPr>
            <w:r>
              <w:t xml:space="preserve">1.27%</w:t>
            </w:r>
          </w:p>
        </w:tc>
      </w:tr>
      <w:tr>
        <w:tc>
          <w:tcPr/>
          <w:p>
            <w:pPr>
              <w:pStyle w:val="Compact"/>
              <w:jc w:val="left"/>
            </w:pPr>
            <w:r>
              <w:t xml:space="preserve">Use Phase (Energy Consumption)</w:t>
            </w:r>
          </w:p>
        </w:tc>
        <w:tc>
          <w:tcPr/>
          <w:p>
            <w:pPr>
              <w:pStyle w:val="Compact"/>
              <w:jc w:val="left"/>
            </w:pPr>
            <w:r>
              <w:t xml:space="preserve">Scope 3 (Downstream)</w:t>
            </w:r>
          </w:p>
        </w:tc>
        <w:tc>
          <w:tcPr/>
          <w:p>
            <w:pPr>
              <w:pStyle w:val="Compact"/>
              <w:jc w:val="left"/>
            </w:pPr>
            <w:r>
              <w:t xml:space="preserve">15.60</w:t>
            </w:r>
          </w:p>
        </w:tc>
        <w:tc>
          <w:tcPr/>
          <w:p>
            <w:pPr>
              <w:pStyle w:val="Compact"/>
              <w:jc w:val="left"/>
            </w:pPr>
            <w:r>
              <w:t xml:space="preserve">52.39%</w:t>
            </w:r>
          </w:p>
        </w:tc>
      </w:tr>
      <w:tr>
        <w:tc>
          <w:tcPr/>
          <w:p>
            <w:pPr>
              <w:pStyle w:val="Compact"/>
              <w:jc w:val="left"/>
            </w:pPr>
            <w:r>
              <w:t xml:space="preserve">End-of-Life (Disposal of non-recycled)</w:t>
            </w:r>
          </w:p>
        </w:tc>
        <w:tc>
          <w:tcPr/>
          <w:p>
            <w:pPr>
              <w:pStyle w:val="Compact"/>
              <w:jc w:val="left"/>
            </w:pPr>
            <w:r>
              <w:t xml:space="preserve">Scope 3 (Downstream)</w:t>
            </w:r>
          </w:p>
        </w:tc>
        <w:tc>
          <w:tcPr/>
          <w:p>
            <w:pPr>
              <w:pStyle w:val="Compact"/>
              <w:jc w:val="left"/>
            </w:pPr>
            <w:r>
              <w:t xml:space="preserve">2.25</w:t>
            </w:r>
          </w:p>
        </w:tc>
        <w:tc>
          <w:tcPr/>
          <w:p>
            <w:pPr>
              <w:pStyle w:val="Compact"/>
              <w:jc w:val="left"/>
            </w:pPr>
            <w:r>
              <w:t xml:space="preserve">7.56%</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29.78</w:t>
            </w:r>
          </w:p>
        </w:tc>
        <w:tc>
          <w:tcPr/>
          <w:p>
            <w:pPr>
              <w:pStyle w:val="Compact"/>
              <w:jc w:val="left"/>
            </w:pPr>
            <w:r>
              <w:rPr>
                <w:bCs/>
                <w:b/>
              </w:rPr>
              <w:t xml:space="preserve">100.00%</w:t>
            </w:r>
          </w:p>
        </w:tc>
      </w:tr>
    </w:tbl>
    <w:bookmarkEnd w:id="34"/>
    <w:bookmarkStart w:id="35" w:name="emission-breakdown-by-ghg-scope"/>
    <w:p>
      <w:pPr>
        <w:pStyle w:val="Heading3"/>
      </w:pPr>
      <w:r>
        <w:t xml:space="preserve">4.2. Emission Breakdown by GHG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Electricity for Manufacturing)</w:t>
            </w:r>
          </w:p>
        </w:tc>
        <w:tc>
          <w:tcPr/>
          <w:p>
            <w:pPr>
              <w:pStyle w:val="Compact"/>
              <w:jc w:val="left"/>
            </w:pPr>
            <w:r>
              <w:t xml:space="preserve">6.50</w:t>
            </w:r>
          </w:p>
        </w:tc>
        <w:tc>
          <w:tcPr/>
          <w:p>
            <w:pPr>
              <w:pStyle w:val="Compact"/>
              <w:jc w:val="left"/>
            </w:pPr>
            <w:r>
              <w:t xml:space="preserve">21.83%</w:t>
            </w:r>
          </w:p>
        </w:tc>
      </w:tr>
      <w:tr>
        <w:tc>
          <w:tcPr/>
          <w:p>
            <w:pPr>
              <w:pStyle w:val="Compact"/>
              <w:jc w:val="left"/>
            </w:pPr>
            <w:r>
              <w:t xml:space="preserve">Scope 3 (Value Chain - Upstream &amp; Downstream)</w:t>
            </w:r>
          </w:p>
        </w:tc>
        <w:tc>
          <w:tcPr/>
          <w:p>
            <w:pPr>
              <w:pStyle w:val="Compact"/>
              <w:jc w:val="left"/>
            </w:pPr>
            <w:r>
              <w:t xml:space="preserve">23.23</w:t>
            </w:r>
          </w:p>
        </w:tc>
        <w:tc>
          <w:tcPr/>
          <w:p>
            <w:pPr>
              <w:pStyle w:val="Compact"/>
              <w:jc w:val="left"/>
            </w:pPr>
            <w:r>
              <w:t xml:space="preserve">78.17%</w:t>
            </w:r>
          </w:p>
        </w:tc>
      </w:tr>
      <w:tr>
        <w:tc>
          <w:tcPr/>
          <w:p>
            <w:pPr>
              <w:pStyle w:val="Compact"/>
              <w:jc w:val="left"/>
            </w:pPr>
            <w:r>
              <w:rPr>
                <w:bCs/>
                <w:b/>
              </w:rPr>
              <w:t xml:space="preserve">TOTAL PCF</w:t>
            </w:r>
          </w:p>
        </w:tc>
        <w:tc>
          <w:tcPr/>
          <w:p>
            <w:pPr>
              <w:pStyle w:val="Compact"/>
              <w:jc w:val="left"/>
            </w:pPr>
            <w:r>
              <w:rPr>
                <w:bCs/>
                <w:b/>
              </w:rPr>
              <w:t xml:space="preserve">29.78</w:t>
            </w:r>
          </w:p>
        </w:tc>
        <w:tc>
          <w:tcPr/>
          <w:p>
            <w:pPr>
              <w:pStyle w:val="Compact"/>
              <w:jc w:val="left"/>
            </w:pPr>
            <w:r>
              <w:rPr>
                <w:bCs/>
                <w:b/>
              </w:rPr>
              <w:t xml:space="preserve">100.00%</w:t>
            </w:r>
          </w:p>
        </w:tc>
      </w:tr>
    </w:tbl>
    <w:p>
      <w:pPr>
        <w:pStyle w:val="BodyText"/>
      </w:pPr>
      <w:r>
        <w:t xml:space="preserve">As anticipated, Scope 3 emissions constitute the majority of the product\'s carbon footprint (78.17%), highlighting the importance of value chain engagement for emission reduction. The use phase is the single largest contributor.</w:t>
      </w:r>
    </w:p>
    <w:bookmarkEnd w:id="35"/>
    <w:bookmarkStart w:id="36" w:name="emission-hotspots-and-reliability"/>
    <w:p>
      <w:pPr>
        <w:pStyle w:val="Heading3"/>
      </w:pPr>
      <w:r>
        <w:t xml:space="preserve">4.3. Emission Hotspots and Reliability</w:t>
      </w:r>
    </w:p>
    <w:p>
      <w:pPr>
        <w:pStyle w:val="FirstParagraph"/>
      </w:pPr>
      <w:r>
        <w:t xml:space="preserve">The primary emission hotspots for fhxpsmpkmi are:</w:t>
      </w:r>
    </w:p>
    <w:p>
      <w:pPr>
        <w:numPr>
          <w:ilvl w:val="0"/>
          <w:numId w:val="1011"/>
        </w:numPr>
        <w:pStyle w:val="Compact"/>
      </w:pPr>
      <w:r>
        <w:rPr>
          <w:bCs/>
          <w:b/>
        </w:rPr>
        <w:t xml:space="preserve">Use Phase (52.39%):</w:t>
      </w:r>
      <w:r>
        <w:t xml:space="preserve"> </w:t>
      </w:r>
      <w:r>
        <w:t xml:space="preserve">The energy consumption during the product\'s 3-year lifespan accounts for over half of its total PCF. This is a critical area for intervention.</w:t>
      </w:r>
    </w:p>
    <w:p>
      <w:pPr>
        <w:numPr>
          <w:ilvl w:val="0"/>
          <w:numId w:val="1011"/>
        </w:numPr>
        <w:pStyle w:val="Compact"/>
      </w:pPr>
      <w:r>
        <w:rPr>
          <w:bCs/>
          <w:b/>
        </w:rPr>
        <w:t xml:space="preserve">Manufacturing (Scope 2, 21.83%):</w:t>
      </w:r>
      <w:r>
        <w:t xml:space="preserve"> </w:t>
      </w:r>
      <w:r>
        <w:t xml:space="preserve">Purchased electricity for production, despite 60% renewable energy usage, remains a significant contributor.</w:t>
      </w:r>
    </w:p>
    <w:p>
      <w:pPr>
        <w:numPr>
          <w:ilvl w:val="0"/>
          <w:numId w:val="1011"/>
        </w:numPr>
        <w:pStyle w:val="Compact"/>
      </w:pPr>
      <w:r>
        <w:rPr>
          <w:bCs/>
          <w:b/>
        </w:rPr>
        <w:t xml:space="preserve">Materials (Scope 3, 15.62%):</w:t>
      </w:r>
      <w:r>
        <w:t xml:space="preserve"> </w:t>
      </w:r>
      <w:r>
        <w:t xml:space="preserve">The embodied emissions in the raw materials, particularly the circuit board, represent a substantial portion of the upstream footprint.</w:t>
      </w:r>
    </w:p>
    <w:p>
      <w:pPr>
        <w:numPr>
          <w:ilvl w:val="0"/>
          <w:numId w:val="1011"/>
        </w:numPr>
        <w:pStyle w:val="Compact"/>
      </w:pPr>
      <w:r>
        <w:rPr>
          <w:bCs/>
          <w:b/>
        </w:rPr>
        <w:t xml:space="preserve">End-of-Life (7.56%):</w:t>
      </w:r>
      <w:r>
        <w:t xml:space="preserve"> </w:t>
      </w:r>
      <w:r>
        <w:t xml:space="preserve">While recyclability is high, the portion of the product that is not recycled still contributes to emissions.</w:t>
      </w:r>
    </w:p>
    <w:p>
      <w:pPr>
        <w:pStyle w:val="FirstParagraph"/>
      </w:pPr>
      <w:r>
        <w:rPr>
          <w:bCs/>
          <w:b/>
        </w:rPr>
        <w:t xml:space="preserve">Data Reliability:</w:t>
      </w:r>
      <w:r>
        <w:t xml:space="preserve"> </w:t>
      </w:r>
      <w:r>
        <w:t xml:space="preserve">The reliability of this assessment is good, leveraging detailed BOM data and specific energy consumption figures. However, it relies on industry-average emission factors for transport and general waste, and assumptions for generic input strings. Future iterations could benefit from primary data from suppliers (e.g., supplier-specific emission factors for materials, actual transport data) to further enhance accuracy and meet the mandatory data disaggregation requirement for Scope 3 reporting in 2026.</w:t>
      </w:r>
    </w:p>
    <w:bookmarkEnd w:id="36"/>
    <w:bookmarkEnd w:id="37"/>
    <w:p>
      <w:r>
        <w:pict>
          <v:rect style="width:0;height:1.5pt" o:hralign="center" o:hrstd="t" o:hr="t"/>
        </w:pict>
      </w:r>
    </w:p>
    <w:bookmarkStart w:id="38" w:name="recommendations-for-emission-reduction"/>
    <w:p>
      <w:pPr>
        <w:pStyle w:val="Heading2"/>
      </w:pPr>
      <w:r>
        <w:t xml:space="preserve">5. Recommendations for Emission Reduction</w:t>
      </w:r>
    </w:p>
    <w:p>
      <w:pPr>
        <w:pStyle w:val="FirstParagraph"/>
      </w:pPr>
      <w:r>
        <w:t xml:space="preserve">Based on the PCF analysis and identified hotspots, the following recommendations are provided to</w:t>
      </w:r>
      <w:r>
        <w:t xml:space="preserve"> </w:t>
      </w:r>
      <w:r>
        <w:rPr>
          <w:bCs/>
          <w:b/>
        </w:rPr>
        <w:t xml:space="preserve">xyywmzvpgd</w:t>
      </w:r>
      <w:r>
        <w:t xml:space="preserve"> </w:t>
      </w:r>
      <w:r>
        <w:t xml:space="preserve">for reducing the environmental impact of fhxpsmpkmi:</w:t>
      </w:r>
    </w:p>
    <w:p>
      <w:pPr>
        <w:numPr>
          <w:ilvl w:val="0"/>
          <w:numId w:val="1012"/>
        </w:numPr>
        <w:pStyle w:val="Compact"/>
      </w:pPr>
      <w:r>
        <w:rPr>
          <w:bCs/>
          <w:b/>
        </w:rPr>
        <w:t xml:space="preserve">Optimize Use Phase Efficiency:</w:t>
      </w:r>
    </w:p>
    <w:p>
      <w:pPr>
        <w:numPr>
          <w:ilvl w:val="1"/>
          <w:numId w:val="1013"/>
        </w:numPr>
        <w:pStyle w:val="Compact"/>
      </w:pPr>
      <w:r>
        <w:t xml:space="preserve">Redesign the product for lower energy consumption during its operational life.</w:t>
      </w:r>
    </w:p>
    <w:p>
      <w:pPr>
        <w:numPr>
          <w:ilvl w:val="1"/>
          <w:numId w:val="1013"/>
        </w:numPr>
        <w:pStyle w:val="Compact"/>
      </w:pPr>
      <w:r>
        <w:t xml:space="preserve">Explore alternative power sources or more energy-efficient components for the use phase.</w:t>
      </w:r>
    </w:p>
    <w:p>
      <w:pPr>
        <w:numPr>
          <w:ilvl w:val="1"/>
          <w:numId w:val="1013"/>
        </w:numPr>
        <w:pStyle w:val="Compact"/>
      </w:pPr>
      <w:r>
        <w:t xml:space="preserve">Promote user behaviors that reduce energy consumption (e.g., eco-mode defaults, clear usage instructions).</w:t>
      </w:r>
    </w:p>
    <w:p>
      <w:pPr>
        <w:numPr>
          <w:ilvl w:val="0"/>
          <w:numId w:val="1012"/>
        </w:numPr>
        <w:pStyle w:val="Compact"/>
      </w:pPr>
      <w:r>
        <w:rPr>
          <w:bCs/>
          <w:b/>
        </w:rPr>
        <w:t xml:space="preserve">Increase Renewable Energy Sourcing for Manufacturing:</w:t>
      </w:r>
    </w:p>
    <w:p>
      <w:pPr>
        <w:numPr>
          <w:ilvl w:val="1"/>
          <w:numId w:val="1014"/>
        </w:numPr>
        <w:pStyle w:val="Compact"/>
      </w:pPr>
      <w:r>
        <w:t xml:space="preserve">While 60% renewable energy usage is commendable, further increasing the percentage of renewable electricity procurement (e.g., through PPAs, on-site generation) can significantly reduce Scope 2 emissions.</w:t>
      </w:r>
    </w:p>
    <w:p>
      <w:pPr>
        <w:numPr>
          <w:ilvl w:val="1"/>
          <w:numId w:val="1014"/>
        </w:numPr>
        <w:pStyle w:val="Compact"/>
      </w:pPr>
      <w:r>
        <w:t xml:space="preserve">Investigate the carbon intensity of the remaining 40% non-renewable electricity and seek options for lower-carbon grid mixes.</w:t>
      </w:r>
    </w:p>
    <w:p>
      <w:pPr>
        <w:numPr>
          <w:ilvl w:val="0"/>
          <w:numId w:val="1012"/>
        </w:numPr>
        <w:pStyle w:val="Compact"/>
      </w:pPr>
      <w:r>
        <w:rPr>
          <w:bCs/>
          <w:b/>
        </w:rPr>
        <w:t xml:space="preserve">Engage Supply Chain for Material Decarbonization:</w:t>
      </w:r>
    </w:p>
    <w:p>
      <w:pPr>
        <w:numPr>
          <w:ilvl w:val="1"/>
          <w:numId w:val="1015"/>
        </w:numPr>
        <w:pStyle w:val="Compact"/>
      </w:pPr>
      <w:r>
        <w:t xml:space="preserve">Work with material suppliers to source lower-carbon alternatives for components, particularly for the circuit board and plastic casing.</w:t>
      </w:r>
    </w:p>
    <w:p>
      <w:pPr>
        <w:numPr>
          <w:ilvl w:val="1"/>
          <w:numId w:val="1015"/>
        </w:numPr>
        <w:pStyle w:val="Compact"/>
      </w:pPr>
      <w:r>
        <w:t xml:space="preserve">Request supplier-specific primary data on material embodied emissions to improve the accuracy of Scope 3 reporting and identify specific high-impact suppliers. This aligns with 2026 Scope 3 revisions emphasizing primary data.</w:t>
      </w:r>
    </w:p>
    <w:p>
      <w:pPr>
        <w:numPr>
          <w:ilvl w:val="0"/>
          <w:numId w:val="1012"/>
        </w:numPr>
        <w:pStyle w:val="Compact"/>
      </w:pPr>
      <w:r>
        <w:rPr>
          <w:bCs/>
          <w:b/>
        </w:rPr>
        <w:t xml:space="preserve">Enhance Circularity and End-of-Life Management:</w:t>
      </w:r>
    </w:p>
    <w:p>
      <w:pPr>
        <w:numPr>
          <w:ilvl w:val="1"/>
          <w:numId w:val="1016"/>
        </w:numPr>
        <w:pStyle w:val="Compact"/>
      </w:pPr>
      <w:r>
        <w:t xml:space="preserve">Leverage the active take-back program (`qlvydgzxht`) to maximize the actual collection and recycling rate beyond the 70% recyclability, ensuring closed-loop material flows.</w:t>
      </w:r>
    </w:p>
    <w:p>
      <w:pPr>
        <w:numPr>
          <w:ilvl w:val="1"/>
          <w:numId w:val="1016"/>
        </w:numPr>
        <w:pStyle w:val="Compact"/>
      </w:pPr>
      <w:r>
        <w:t xml:space="preserve">Explore design strategies for easier disassembly and repair to extend product lifespan and facilitate higher-quality recycling.</w:t>
      </w:r>
    </w:p>
    <w:p>
      <w:pPr>
        <w:numPr>
          <w:ilvl w:val="1"/>
          <w:numId w:val="1016"/>
        </w:numPr>
        <w:pStyle w:val="Compact"/>
      </w:pPr>
      <w:r>
        <w:t xml:space="preserve">Investigate possibilities for incorporating recycled content into new products to reduce virgin material demand.</w:t>
      </w:r>
    </w:p>
    <w:p>
      <w:pPr>
        <w:numPr>
          <w:ilvl w:val="0"/>
          <w:numId w:val="1012"/>
        </w:numPr>
        <w:pStyle w:val="Compact"/>
      </w:pPr>
      <w:r>
        <w:rPr>
          <w:bCs/>
          <w:b/>
        </w:rPr>
        <w:t xml:space="preserve">Optimize Logistics:</w:t>
      </w:r>
    </w:p>
    <w:p>
      <w:pPr>
        <w:numPr>
          <w:ilvl w:val="1"/>
          <w:numId w:val="1017"/>
        </w:numPr>
        <w:pStyle w:val="Compact"/>
      </w:pPr>
      <w:r>
        <w:t xml:space="preserve">Evaluate opportunities to optimize transport routes, consolidate shipments, and consider lower-emission transport modes where feasible, especially for upstream logistics.</w:t>
      </w:r>
    </w:p>
    <w:p>
      <w:pPr>
        <w:numPr>
          <w:ilvl w:val="1"/>
          <w:numId w:val="1017"/>
        </w:numPr>
        <w:pStyle w:val="Compact"/>
      </w:pPr>
      <w:r>
        <w:t xml:space="preserve">Engage with logistics providers to encourage the adoption of more fuel-efficient vehicles or alternative fuels for both ocean and road freight.</w:t>
      </w:r>
    </w:p>
    <w:p>
      <w:pPr>
        <w:numPr>
          <w:ilvl w:val="0"/>
          <w:numId w:val="1012"/>
        </w:numPr>
        <w:pStyle w:val="Compact"/>
      </w:pPr>
      <w:r>
        <w:rPr>
          <w:bCs/>
          <w:b/>
        </w:rPr>
        <w:t xml:space="preserve">Prepare for LSR Standard:</w:t>
      </w:r>
    </w:p>
    <w:p>
      <w:pPr>
        <w:numPr>
          <w:ilvl w:val="1"/>
          <w:numId w:val="1018"/>
        </w:numPr>
        <w:pStyle w:val="Compact"/>
      </w:pPr>
      <w:r>
        <w:t xml:space="preserve">Begin assessing if any raw materials in the supply chain (especially future material choices) could fall under the Land Sector and Removals (LSR) Standard to prepare for its effective date of January 1, 2027, and potential future reporting requirements.</w:t>
      </w:r>
    </w:p>
    <w:bookmarkEnd w:id="38"/>
    <w:p>
      <w:r>
        <w:pict>
          <v:rect style="width:0;height:1.5pt" o:hralign="center" o:hrstd="t" o:hr="t"/>
        </w:pict>
      </w:r>
    </w:p>
    <w:bookmarkStart w:id="39" w:name="conclusion"/>
    <w:p>
      <w:pPr>
        <w:pStyle w:val="Heading2"/>
      </w:pPr>
      <w:r>
        <w:t xml:space="preserve">6. Conclusion</w:t>
      </w:r>
    </w:p>
    <w:p>
      <w:pPr>
        <w:pStyle w:val="FirstParagraph"/>
      </w:pPr>
      <w:r>
        <w:t xml:space="preserve">This Product Carbon Footprint analysis provides</w:t>
      </w:r>
      <w:r>
        <w:t xml:space="preserve"> </w:t>
      </w:r>
      <w:r>
        <w:rPr>
          <w:bCs/>
          <w:b/>
        </w:rPr>
        <w:t xml:space="preserve">xyywmzvpgd</w:t>
      </w:r>
      <w:r>
        <w:t xml:space="preserve"> </w:t>
      </w:r>
      <w:r>
        <w:t xml:space="preserve">with a comprehensive understanding of the environmental impact of</w:t>
      </w:r>
      <w:r>
        <w:t xml:space="preserve"> </w:t>
      </w:r>
      <w:r>
        <w:rPr>
          <w:bCs/>
          <w:b/>
        </w:rPr>
        <w:t xml:space="preserve">fhxpsmpkmi</w:t>
      </w:r>
      <w:r>
        <w:t xml:space="preserve">. With a total PCF of</w:t>
      </w:r>
      <w:r>
        <w:t xml:space="preserve"> </w:t>
      </w:r>
      <w:r>
        <w:rPr>
          <w:bCs/>
          <w:b/>
        </w:rPr>
        <w:t xml:space="preserve">29.78 kgCO2e</w:t>
      </w:r>
      <w:r>
        <w:t xml:space="preserve"> </w:t>
      </w:r>
      <w:r>
        <w:t xml:space="preserve">per unit, the report clearly highlights the use phase, manufacturing energy, and material acquisition as primary emission hotspots. By strategically addressing these areas through design improvements, renewable energy integration, supply chain engagement, and enhanced circularity, xyywmzvpgd can significantly reduce the product\'s environmental footprint. Adhering to the evolving GHG Protocol standards, including the LSR Standard and stricter Scope 3 reporting requirements, will be crucial for robust and credible sustainability reporting.</w:t>
      </w:r>
    </w:p>
    <w:bookmarkEnd w:id="39"/>
    <w:p>
      <w:pPr>
        <w:pStyle w:val="BodyText"/>
      </w:pPr>
      <w:r>
        <w:t xml:space="preserve">Confidential - Internal Use Only | Page</w:t>
      </w:r>
      <w:r>
        <w:t xml:space="preserve"> </w:t>
      </w:r>
      <w:bookmarkStart w:id="40" w:name="page-number"/>
      <w:bookmarkEnd w:id="40"/>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fhxpsmpkmi - xyywmzvpgd</dc:title>
  <dc:creator/>
  <dc:description>Detailed Product Carbon Footprint (PCF) analysis report for product fhxpsmpkmi, performed for xyywmzvpgd by Senior Sustainability Consultant fdytpyfqyk, adhering to GHG Protocol standards and 2026 updates for Scope 3 and LSR.</dc:description>
  <dc:language>en</dc:language>
  <cp:keywords/>
  <dcterms:created xsi:type="dcterms:W3CDTF">2026-05-30T14:55:58Z</dcterms:created>
  <dcterms:modified xsi:type="dcterms:W3CDTF">2026-05-30T14:55:58Z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