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fhoyvvhvph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fhoyvvhvph (Smart Home Sensor)</w:t>
      </w:r>
    </w:p>
    <w:p>
      <w:pPr>
        <w:pStyle w:val="BodyText"/>
      </w:pPr>
      <w:r>
        <w:rPr>
          <w:bCs/>
          <w:b/>
        </w:rPr>
        <w:t xml:space="preserve">Company Name:</w:t>
      </w:r>
      <w:r>
        <w:t xml:space="preserve"> </w:t>
      </w:r>
      <w:r>
        <w:t xml:space="preserve">nxujljxyel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mtxzvofmdy</w:t>
      </w:r>
    </w:p>
    <w:p>
      <w:pPr>
        <w:pStyle w:val="BodyText"/>
      </w:pPr>
      <w:r>
        <w:t xml:space="preserve">Disclaimer: This report is generated based on available data and industry standards. While every effort has been made to ensure accuracy, actual impacts may vary based on specific operational details and evolving market conditions.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fhoyvvhvph, a Smart Home Sensor, manufactured by nxujljxyel. The analysis was conducted by mtxzvofmdy, Senior Sustainability Consultant, adhering to the Greenhouse Gas (GHG) Protocol standards, including the 2026 Land Sector and Removals (LSR) update, and aiming for at least 95% Scope 3 coverage. The total cradle-to-grave carbon footprint for one unit of fhoyvvhvph is calculated to be approximately 7.11 kg CO2e, with significant contributions from materials acquisition and the product\'s use phase.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built upon clearly defined parameters, ensuring a robust and consistent evaluation of environmental impacts.</w:t>
      </w:r>
    </w:p>
    <w:p>
      <w:pPr>
        <w:numPr>
          <w:ilvl w:val="0"/>
          <w:numId w:val="1001"/>
        </w:numPr>
        <w:pStyle w:val="Compact"/>
      </w:pPr>
      <w:r>
        <w:rPr>
          <w:bCs/>
          <w:b/>
        </w:rPr>
        <w:t xml:space="preserve">Functional Unit:</w:t>
      </w:r>
      <w:r>
        <w:t xml:space="preserve"> </w:t>
      </w:r>
      <w:r>
        <w:t xml:space="preserve">The functional unit for this study is defined as 1.0 unit of the fhoyvvhvph (Smart Home Sensor) providing its intended function over its lifespan.</w:t>
      </w:r>
    </w:p>
    <w:p>
      <w:pPr>
        <w:numPr>
          <w:ilvl w:val="0"/>
          <w:numId w:val="1001"/>
        </w:numPr>
        <w:pStyle w:val="Compact"/>
      </w:pPr>
      <w:r>
        <w:rPr>
          <w:bCs/>
          <w:b/>
        </w:rPr>
        <w:t xml:space="preserve">System Boundary:</w:t>
      </w:r>
      <w:r>
        <w:t xml:space="preserve"> </w:t>
      </w:r>
      <w:r>
        <w:t xml:space="preserve">A \'cradle-to-grave\' system boundary has been adopted for a comprehensive assessment, encompassing all stages from raw material extraction, through manufacturing, distribution, the use phase, and finally, end-of-life treatment. While the primary focus for direct operational data is "factory_gate" for manufacturing, all subsequent life cycle stages are included as per the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distribution and use phase in Europe)</w:t>
      </w:r>
    </w:p>
    <w:p>
      <w:pPr>
        <w:numPr>
          <w:ilvl w:val="0"/>
          <w:numId w:val="1001"/>
        </w:numPr>
        <w:pStyle w:val="Compact"/>
      </w:pPr>
      <w:r>
        <w:rPr>
          <w:bCs/>
          <w:b/>
        </w:rPr>
        <w:t xml:space="preserve">Allocation Approach:</w:t>
      </w:r>
      <w:r>
        <w:t xml:space="preserve"> </w:t>
      </w:r>
      <w:r>
        <w:t xml:space="preserve">For this single-product PCF, direct attribution of emissions to the functional unit is applied across all life cycle stages. In cases of multi-product systems (e.g., co-products in raw material production), generally accepted industry practices for allocation (e.g., mass or economic allocation) are assumed within the emission factors sourced.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The lifecycle of fhoyvvhvph is mapped across five distinct stages, for which detailed primary and secondary data have been collected and utilized for emission calculations.</w:t>
      </w:r>
    </w:p>
    <w:bookmarkStart w:id="24" w:name="X44369836aff3e80b460abe1ee0206e4af61eca1"/>
    <w:p>
      <w:pPr>
        <w:pStyle w:val="Heading3"/>
      </w:pPr>
      <w:r>
        <w:t xml:space="preserve">Materials Acquisition &amp; Production (Upstream - Scope 3)</w:t>
      </w:r>
    </w:p>
    <w:p>
      <w:pPr>
        <w:pStyle w:val="FirstParagraph"/>
      </w:pPr>
      <w:r>
        <w:t xml:space="preserve">The Detailed Bill of Materials (BOM) for fhoyvvhvph (Smart Home Sensor) is crucial for accurate upstream impact assessment. Emission factors are sourced from industry-standard databases, reflecting the environmental impact of raw material extraction and processing.</w:t>
      </w:r>
    </w:p>
    <w:p>
      <w:pPr>
        <w:pStyle w:val="BodyText"/>
      </w:pPr>
      <w:r>
        <w:rPr>
          <w:bCs/>
          <w:b/>
        </w:rPr>
        <w:t xml:space="preserve">Detailed Bill of Materials (BOM): hzrqtdpp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0.2800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0.040</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2.0000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1.6000</w:t>
            </w:r>
          </w:p>
        </w:tc>
      </w:tr>
      <w:tr>
        <w:tc>
          <w:tcPr/>
          <w:p>
            <w:pPr>
              <w:pStyle w:val="Compact"/>
              <w:jc w:val="left"/>
            </w:pPr>
            <w:r>
              <w:t xml:space="preserve">4</w:t>
            </w:r>
          </w:p>
        </w:tc>
        <w:tc>
          <w:tcPr/>
          <w:p>
            <w:pPr>
              <w:pStyle w:val="Compact"/>
              <w:jc w:val="left"/>
            </w:pPr>
            <w:r>
              <w:t xml:space="preserve">Sensors &amp; Microcontrollers</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0.015</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0.0045</w:t>
            </w:r>
          </w:p>
        </w:tc>
      </w:tr>
      <w:tr>
        <w:tc>
          <w:tcPr>
            <w:gridSpan w:val="7"/>
          </w:tcPr>
          <w:p>
            <w:pPr>
              <w:pStyle w:val="Compact"/>
              <w:jc w:val="right"/>
            </w:pPr>
            <w:r>
              <w:rPr>
                <w:bCs/>
                <w:b/>
              </w:rPr>
              <w:t xml:space="preserve">Total Material Carbon:</w:t>
            </w:r>
          </w:p>
        </w:tc>
        <w:tc>
          <w:tcPr/>
          <w:p>
            <w:pPr>
              <w:pStyle w:val="Compact"/>
              <w:jc w:val="left"/>
            </w:pPr>
            <w:r>
              <w:rPr>
                <w:bCs/>
                <w:b/>
              </w:rPr>
              <w:t xml:space="preserve">4.0095 kg CO2e</w:t>
            </w:r>
          </w:p>
        </w:tc>
      </w:tr>
    </w:tbl>
    <w:bookmarkEnd w:id="24"/>
    <w:bookmarkStart w:id="25" w:name="manufacturingproduction-phase-scope-2"/>
    <w:p>
      <w:pPr>
        <w:pStyle w:val="Heading3"/>
      </w:pPr>
      <w:r>
        <w:t xml:space="preserve">Manufacturing/Production Phase (Scope 2)</w:t>
      </w:r>
    </w:p>
    <w:p>
      <w:pPr>
        <w:pStyle w:val="FirstParagraph"/>
      </w:pPr>
      <w:r>
        <w:t xml:space="preserve">This phase covers the energy consumed during the assembly and manufacturing processes in China.</w:t>
      </w:r>
    </w:p>
    <w:p>
      <w:pPr>
        <w:numPr>
          <w:ilvl w:val="0"/>
          <w:numId w:val="1003"/>
        </w:numPr>
        <w:pStyle w:val="Compact"/>
      </w:pPr>
      <w:r>
        <w:rPr>
          <w:bCs/>
          <w:b/>
        </w:rPr>
        <w:t xml:space="preserve">Energy Intensity (kWh/unit):</w:t>
      </w:r>
      <w:r>
        <w:t xml:space="preserve"> </w:t>
      </w:r>
      <w:r>
        <w:t xml:space="preserve">lknpdrdxwq (2.5 kWh/unit)</w:t>
      </w:r>
    </w:p>
    <w:p>
      <w:pPr>
        <w:numPr>
          <w:ilvl w:val="0"/>
          <w:numId w:val="1003"/>
        </w:numPr>
        <w:pStyle w:val="Compact"/>
      </w:pPr>
      <w:r>
        <w:rPr>
          <w:bCs/>
          <w:b/>
        </w:rPr>
        <w:t xml:space="preserve">Renewable Energy Usage (%):</w:t>
      </w:r>
      <w:r>
        <w:t xml:space="preserve"> </w:t>
      </w:r>
      <w:r>
        <w:t xml:space="preserve">ypoqqhlost (40%)</w:t>
      </w:r>
    </w:p>
    <w:p>
      <w:pPr>
        <w:numPr>
          <w:ilvl w:val="0"/>
          <w:numId w:val="1003"/>
        </w:numPr>
        <w:pStyle w:val="Compact"/>
      </w:pPr>
      <w:r>
        <w:rPr>
          <w:bCs/>
          <w:b/>
        </w:rPr>
        <w:t xml:space="preserve">Chinese Grid Electricity Emission Factor:</w:t>
      </w:r>
      <w:r>
        <w:t xml:space="preserve"> </w:t>
      </w:r>
      <w:r>
        <w:t xml:space="preserve">0.6 kg CO2e/kWh</w:t>
      </w:r>
    </w:p>
    <w:bookmarkEnd w:id="25"/>
    <w:bookmarkStart w:id="26" w:name="transport-logistics-scope-3"/>
    <w:p>
      <w:pPr>
        <w:pStyle w:val="Heading3"/>
      </w:pPr>
      <w:r>
        <w:t xml:space="preserve">Transport &amp; Logistics (Scope 3)</w:t>
      </w:r>
    </w:p>
    <w:p>
      <w:pPr>
        <w:pStyle w:val="FirstParagraph"/>
      </w:pPr>
      <w:r>
        <w:t xml:space="preserve">Emissions from transporting the finished product from the factory in China to the consumer in Europe are considered.</w:t>
      </w:r>
    </w:p>
    <w:p>
      <w:pPr>
        <w:numPr>
          <w:ilvl w:val="0"/>
          <w:numId w:val="1004"/>
        </w:numPr>
        <w:pStyle w:val="Compact"/>
      </w:pPr>
      <w:r>
        <w:rPr>
          <w:bCs/>
          <w:b/>
        </w:rPr>
        <w:t xml:space="preserve">Transport Mode:</w:t>
      </w:r>
      <w:r>
        <w:t xml:space="preserve"> </w:t>
      </w:r>
      <w:r>
        <w:t xml:space="preserve">Select Mode (Assumed: Ocean Freight from China to Europe, then Road Freight for regional distribution)</w:t>
      </w:r>
    </w:p>
    <w:p>
      <w:pPr>
        <w:numPr>
          <w:ilvl w:val="0"/>
          <w:numId w:val="1004"/>
        </w:numPr>
        <w:pStyle w:val="Compact"/>
      </w:pPr>
      <w:r>
        <w:rPr>
          <w:bCs/>
          <w:b/>
        </w:rPr>
        <w:t xml:space="preserve">Transport Distance (km):</w:t>
      </w:r>
      <w:r>
        <w:t xml:space="preserve"> </w:t>
      </w:r>
      <w:r>
        <w:t xml:space="preserve">kwzgrstzmj (Assumed: Ocean Freight = 15,000 km; Road Freight (Distribution) = 500 km; Last-Mile Delivery = 50 km)</w:t>
      </w:r>
    </w:p>
    <w:p>
      <w:pPr>
        <w:numPr>
          <w:ilvl w:val="0"/>
          <w:numId w:val="1004"/>
        </w:numPr>
        <w:pStyle w:val="Compact"/>
      </w:pPr>
      <w:r>
        <w:rPr>
          <w:bCs/>
          <w:b/>
        </w:rPr>
        <w:t xml:space="preserve">Last-Mile Delivery Channel:</w:t>
      </w:r>
      <w:r>
        <w:t xml:space="preserve"> </w:t>
      </w:r>
      <w:r>
        <w:t xml:space="preserve">Delivery Type (Assumed: Road Freight)</w:t>
      </w:r>
    </w:p>
    <w:p>
      <w:pPr>
        <w:numPr>
          <w:ilvl w:val="0"/>
          <w:numId w:val="1004"/>
        </w:numPr>
        <w:pStyle w:val="Compact"/>
      </w:pPr>
      <w:r>
        <w:rPr>
          <w:bCs/>
          <w:b/>
        </w:rPr>
        <w:t xml:space="preserve">Ocean Freight Emission Factor:</w:t>
      </w:r>
      <w:r>
        <w:t xml:space="preserve"> </w:t>
      </w:r>
      <w:r>
        <w:t xml:space="preserve">0.000008 kg CO2e/kg-km</w:t>
      </w:r>
    </w:p>
    <w:p>
      <w:pPr>
        <w:numPr>
          <w:ilvl w:val="0"/>
          <w:numId w:val="1004"/>
        </w:numPr>
        <w:pStyle w:val="Compact"/>
      </w:pPr>
      <w:r>
        <w:rPr>
          <w:bCs/>
          <w:b/>
        </w:rPr>
        <w:t xml:space="preserve">Road Freight Emission Factor:</w:t>
      </w:r>
      <w:r>
        <w:t xml:space="preserve"> </w:t>
      </w:r>
      <w:r>
        <w:t xml:space="preserve">0.00009 kg CO2e/kg-km</w:t>
      </w:r>
    </w:p>
    <w:p>
      <w:pPr>
        <w:numPr>
          <w:ilvl w:val="0"/>
          <w:numId w:val="1004"/>
        </w:numPr>
        <w:pStyle w:val="Compact"/>
      </w:pPr>
      <w:r>
        <w:rPr>
          <w:bCs/>
          <w:b/>
        </w:rPr>
        <w:t xml:space="preserve">Product Weight:</w:t>
      </w:r>
      <w:r>
        <w:t xml:space="preserve"> </w:t>
      </w:r>
      <w:r>
        <w:t xml:space="preserve">0.15 kg (Total weight derived from BOM)</w:t>
      </w:r>
    </w:p>
    <w:bookmarkEnd w:id="26"/>
    <w:bookmarkStart w:id="27" w:name="use-phase-scope-3"/>
    <w:p>
      <w:pPr>
        <w:pStyle w:val="Heading3"/>
      </w:pPr>
      <w:r>
        <w:t xml:space="preserve">Use Phase (Scope 3)</w:t>
      </w:r>
    </w:p>
    <w:p>
      <w:pPr>
        <w:pStyle w:val="FirstParagraph"/>
      </w:pPr>
      <w:r>
        <w:t xml:space="preserve">The environmental impact during the product\'s operational life is calculated based on its energy consumption and expected lifespan.</w:t>
      </w:r>
    </w:p>
    <w:p>
      <w:pPr>
        <w:numPr>
          <w:ilvl w:val="0"/>
          <w:numId w:val="1005"/>
        </w:numPr>
        <w:pStyle w:val="Compact"/>
      </w:pPr>
      <w:r>
        <w:rPr>
          <w:bCs/>
          <w:b/>
        </w:rPr>
        <w:t xml:space="preserve">Product Lifespan:</w:t>
      </w:r>
      <w:r>
        <w:t xml:space="preserve"> </w:t>
      </w:r>
      <w:r>
        <w:t xml:space="preserve">zlrwxvdhxm (5 years)</w:t>
      </w:r>
    </w:p>
    <w:p>
      <w:pPr>
        <w:numPr>
          <w:ilvl w:val="0"/>
          <w:numId w:val="1005"/>
        </w:numPr>
        <w:pStyle w:val="Compact"/>
      </w:pPr>
      <w:r>
        <w:rPr>
          <w:bCs/>
          <w:b/>
        </w:rPr>
        <w:t xml:space="preserve">Energy Consumption in Use:</w:t>
      </w:r>
      <w:r>
        <w:t xml:space="preserve"> </w:t>
      </w:r>
      <w:r>
        <w:t xml:space="preserve">tzmhthxjzz (0.005 kWh/day, totaling 9.125 kWh over lifespan)</w:t>
      </w:r>
    </w:p>
    <w:p>
      <w:pPr>
        <w:numPr>
          <w:ilvl w:val="0"/>
          <w:numId w:val="1005"/>
        </w:numPr>
        <w:pStyle w:val="Compact"/>
      </w:pPr>
      <w:r>
        <w:rPr>
          <w:bCs/>
          <w:b/>
        </w:rPr>
        <w:t xml:space="preserve">European Average Grid Electricity Emission Factor:</w:t>
      </w:r>
      <w:r>
        <w:t xml:space="preserve"> </w:t>
      </w:r>
      <w:r>
        <w:t xml:space="preserve">0.238 kg CO2e/kWh</w:t>
      </w:r>
    </w:p>
    <w:bookmarkEnd w:id="27"/>
    <w:bookmarkStart w:id="28" w:name="end-of-life-eol-scope-3"/>
    <w:p>
      <w:pPr>
        <w:pStyle w:val="Heading3"/>
      </w:pPr>
      <w:r>
        <w:t xml:space="preserve">End-of-Life (EoL) (Scope 3)</w:t>
      </w:r>
    </w:p>
    <w:p>
      <w:pPr>
        <w:pStyle w:val="FirstParagraph"/>
      </w:pPr>
      <w:r>
        <w:t xml:space="preserve">The emissions associated with the disposal and treatment of the product at the end of its useful life are assessed, incorporating circular economy principles.</w:t>
      </w:r>
    </w:p>
    <w:p>
      <w:pPr>
        <w:numPr>
          <w:ilvl w:val="0"/>
          <w:numId w:val="1006"/>
        </w:numPr>
        <w:pStyle w:val="Compact"/>
      </w:pPr>
      <w:r>
        <w:rPr>
          <w:bCs/>
          <w:b/>
        </w:rPr>
        <w:t xml:space="preserve">Recyclability Percentage:</w:t>
      </w:r>
      <w:r>
        <w:t xml:space="preserve"> </w:t>
      </w:r>
      <w:r>
        <w:t xml:space="preserve">mpqnjwjjsw (60%)</w:t>
      </w:r>
    </w:p>
    <w:p>
      <w:pPr>
        <w:numPr>
          <w:ilvl w:val="0"/>
          <w:numId w:val="1006"/>
        </w:numPr>
        <w:pStyle w:val="Compact"/>
      </w:pPr>
      <w:r>
        <w:rPr>
          <w:bCs/>
          <w:b/>
        </w:rPr>
        <w:t xml:space="preserve">Circular/Take-back Programs:</w:t>
      </w:r>
      <w:r>
        <w:t xml:space="preserve"> </w:t>
      </w:r>
      <w:r>
        <w:t xml:space="preserve">oxmmhdytxt (Product take-back scheme in select regions, component recovery initiated.)</w:t>
      </w:r>
    </w:p>
    <w:p>
      <w:pPr>
        <w:numPr>
          <w:ilvl w:val="0"/>
          <w:numId w:val="1006"/>
        </w:numPr>
        <w:pStyle w:val="Compact"/>
      </w:pPr>
      <w:r>
        <w:rPr>
          <w:bCs/>
          <w:b/>
        </w:rPr>
        <w:t xml:space="preserve">Recycling Process Emission Factor:</w:t>
      </w:r>
      <w:r>
        <w:t xml:space="preserve"> </w:t>
      </w:r>
      <w:r>
        <w:t xml:space="preserve">0.02 kg CO2e/kg</w:t>
      </w:r>
    </w:p>
    <w:p>
      <w:pPr>
        <w:numPr>
          <w:ilvl w:val="0"/>
          <w:numId w:val="1006"/>
        </w:numPr>
        <w:pStyle w:val="Compact"/>
      </w:pPr>
      <w:r>
        <w:rPr>
          <w:bCs/>
          <w:b/>
        </w:rPr>
        <w:t xml:space="preserve">Residual Waste (Landfill/Incineration) Emission Factor:</w:t>
      </w:r>
      <w:r>
        <w:t xml:space="preserve"> </w:t>
      </w:r>
      <w:r>
        <w:t xml:space="preserve">0.1 kg CO2e/kg (simplified average for mixed waste)</w:t>
      </w:r>
    </w:p>
    <w:p>
      <w:r>
        <w:pict>
          <v:rect style="width:0;height:1.5pt" o:hralign="center" o:hrstd="t" o:hr="t"/>
        </w:pict>
      </w:r>
    </w:p>
    <w:bookmarkEnd w:id="28"/>
    <w:bookmarkEnd w:id="29"/>
    <w:bookmarkStart w:id="34" w:name="emissions-calculation"/>
    <w:p>
      <w:pPr>
        <w:pStyle w:val="Heading2"/>
      </w:pPr>
      <w:r>
        <w:t xml:space="preserve">4. Emissions Calculation</w:t>
      </w:r>
    </w:p>
    <w:p>
      <w:pPr>
        <w:pStyle w:val="FirstParagraph"/>
      </w:pPr>
      <w:r>
        <w:t xml:space="preserve">Emissions are calculated for each life cycle stage and categorized according to the GHG Protocol Scopes. Activity data are multiplied by relevant emission factors to determine CO2e emissions.</w:t>
      </w:r>
    </w:p>
    <w:bookmarkStart w:id="30" w:name="detailed-calculations"/>
    <w:p>
      <w:pPr>
        <w:pStyle w:val="Heading3"/>
      </w:pPr>
      <w:r>
        <w:t xml:space="preserve">Detailed Calculations</w:t>
      </w:r>
    </w:p>
    <w:p>
      <w:pPr>
        <w:numPr>
          <w:ilvl w:val="0"/>
          <w:numId w:val="1007"/>
        </w:numPr>
        <w:pStyle w:val="Compact"/>
      </w:pPr>
      <w:r>
        <w:rPr>
          <w:bCs/>
          <w:b/>
        </w:rPr>
        <w:t xml:space="preserve">Total Product Weight:</w:t>
      </w:r>
      <w:r>
        <w:t xml:space="preserve"> </w:t>
      </w:r>
      <w:r>
        <w:t xml:space="preserve">0.15 kg</w:t>
      </w:r>
    </w:p>
    <w:p>
      <w:pPr>
        <w:numPr>
          <w:ilvl w:val="0"/>
          <w:numId w:val="1007"/>
        </w:numPr>
        <w:pStyle w:val="Compact"/>
      </w:pPr>
      <w:r>
        <w:rPr>
          <w:bCs/>
          <w:b/>
        </w:rPr>
        <w:t xml:space="preserve">Materials Acquisition &amp; Production (Scope 3 - Upstream):</w:t>
      </w:r>
      <w:r>
        <w:t xml:space="preserve"> </w:t>
      </w:r>
      <w:r>
        <w:t xml:space="preserve">4.0095 kg CO2e (Sum from BOM table)</w:t>
      </w:r>
    </w:p>
    <w:p>
      <w:pPr>
        <w:numPr>
          <w:ilvl w:val="0"/>
          <w:numId w:val="1007"/>
        </w:numPr>
        <w:pStyle w:val="Compact"/>
      </w:pPr>
      <w:r>
        <w:rPr>
          <w:bCs/>
          <w:b/>
        </w:rPr>
        <w:t xml:space="preserve">Manufacturing/Production (Scope 2):</w:t>
      </w:r>
    </w:p>
    <w:p>
      <w:pPr>
        <w:numPr>
          <w:ilvl w:val="1"/>
          <w:numId w:val="1008"/>
        </w:numPr>
        <w:pStyle w:val="Compact"/>
      </w:pPr>
      <w:r>
        <w:t xml:space="preserve">Non-renewable electricity = 2.5 kWh/unit * (1 - 0.40) = 1.5 kWh/unit</w:t>
      </w:r>
    </w:p>
    <w:p>
      <w:pPr>
        <w:numPr>
          <w:ilvl w:val="1"/>
          <w:numId w:val="1008"/>
        </w:numPr>
        <w:pStyle w:val="Compact"/>
      </w:pPr>
      <w:r>
        <w:t xml:space="preserve">Emissions = 1.5 kWh/unit * 0.6 kg CO2e/kWh = 0.9 kg CO2e/unit</w:t>
      </w:r>
    </w:p>
    <w:p>
      <w:pPr>
        <w:numPr>
          <w:ilvl w:val="0"/>
          <w:numId w:val="1007"/>
        </w:numPr>
        <w:pStyle w:val="Compact"/>
      </w:pPr>
      <w:r>
        <w:rPr>
          <w:bCs/>
          <w:b/>
        </w:rPr>
        <w:t xml:space="preserve">Transport - Distribution (Scope 3 - Downstream):</w:t>
      </w:r>
    </w:p>
    <w:p>
      <w:pPr>
        <w:numPr>
          <w:ilvl w:val="1"/>
          <w:numId w:val="1009"/>
        </w:numPr>
        <w:pStyle w:val="Compact"/>
      </w:pPr>
      <w:r>
        <w:t xml:space="preserve">Ocean Freight Emissions = 0.15 kg * 15,000 km * 0.000008 kg CO2e/kg-km = 0.018 kg CO2e</w:t>
      </w:r>
    </w:p>
    <w:p>
      <w:pPr>
        <w:numPr>
          <w:ilvl w:val="1"/>
          <w:numId w:val="1009"/>
        </w:numPr>
        <w:pStyle w:val="Compact"/>
      </w:pPr>
      <w:r>
        <w:t xml:space="preserve">Road Freight (Distribution) Emissions = 0.15 kg * 500 km * 0.00009 kg CO2e/kg-km = 0.00675 kg CO2e</w:t>
      </w:r>
    </w:p>
    <w:p>
      <w:pPr>
        <w:numPr>
          <w:ilvl w:val="1"/>
          <w:numId w:val="1009"/>
        </w:numPr>
        <w:pStyle w:val="Compact"/>
      </w:pPr>
      <w:r>
        <w:t xml:space="preserve">Total Distribution Transport = 0.018 + 0.00675 = 0.02475 kg CO2e</w:t>
      </w:r>
    </w:p>
    <w:p>
      <w:pPr>
        <w:numPr>
          <w:ilvl w:val="0"/>
          <w:numId w:val="1007"/>
        </w:numPr>
        <w:pStyle w:val="Compact"/>
      </w:pPr>
      <w:r>
        <w:rPr>
          <w:bCs/>
          <w:b/>
        </w:rPr>
        <w:t xml:space="preserve">Last-Mile Delivery (Scope 3 - Downstream):</w:t>
      </w:r>
    </w:p>
    <w:p>
      <w:pPr>
        <w:numPr>
          <w:ilvl w:val="1"/>
          <w:numId w:val="1010"/>
        </w:numPr>
        <w:pStyle w:val="Compact"/>
      </w:pPr>
      <w:r>
        <w:t xml:space="preserve">Emissions = 0.15 kg * 50 km * 0.00009 kg CO2e/kg-km = 0.000675 kg CO2e</w:t>
      </w:r>
    </w:p>
    <w:p>
      <w:pPr>
        <w:numPr>
          <w:ilvl w:val="0"/>
          <w:numId w:val="1007"/>
        </w:numPr>
        <w:pStyle w:val="Compact"/>
      </w:pPr>
      <w:r>
        <w:rPr>
          <w:bCs/>
          <w:b/>
        </w:rPr>
        <w:t xml:space="preserve">Use Phase (Scope 3 - Downstream):</w:t>
      </w:r>
    </w:p>
    <w:p>
      <w:pPr>
        <w:numPr>
          <w:ilvl w:val="1"/>
          <w:numId w:val="1011"/>
        </w:numPr>
        <w:pStyle w:val="Compact"/>
      </w:pPr>
      <w:r>
        <w:t xml:space="preserve">Total Energy Consumption = 0.005 kWh/day * 365 days/year * 5 years = 9.125 kWh</w:t>
      </w:r>
    </w:p>
    <w:p>
      <w:pPr>
        <w:numPr>
          <w:ilvl w:val="1"/>
          <w:numId w:val="1011"/>
        </w:numPr>
        <w:pStyle w:val="Compact"/>
      </w:pPr>
      <w:r>
        <w:t xml:space="preserve">Emissions = 9.125 kWh * 0.238 kg CO2e/kWh = 2.17175 kg CO2e</w:t>
      </w:r>
    </w:p>
    <w:p>
      <w:pPr>
        <w:numPr>
          <w:ilvl w:val="0"/>
          <w:numId w:val="1007"/>
        </w:numPr>
        <w:pStyle w:val="Compact"/>
      </w:pPr>
      <w:r>
        <w:rPr>
          <w:bCs/>
          <w:b/>
        </w:rPr>
        <w:t xml:space="preserve">End-of-Life (EoL) (Scope 3 - Downstream):</w:t>
      </w:r>
    </w:p>
    <w:p>
      <w:pPr>
        <w:numPr>
          <w:ilvl w:val="1"/>
          <w:numId w:val="1012"/>
        </w:numPr>
        <w:pStyle w:val="Compact"/>
      </w:pPr>
      <w:r>
        <w:t xml:space="preserve">Recycled Portion = 0.15 kg * 0.60 = 0.09 kg</w:t>
      </w:r>
    </w:p>
    <w:p>
      <w:pPr>
        <w:numPr>
          <w:ilvl w:val="1"/>
          <w:numId w:val="1012"/>
        </w:numPr>
        <w:pStyle w:val="Compact"/>
      </w:pPr>
      <w:r>
        <w:t xml:space="preserve">Recycling Process Emissions = 0.09 kg * 0.02 kg CO2e/kg = 0.0018 kg CO2e</w:t>
      </w:r>
    </w:p>
    <w:p>
      <w:pPr>
        <w:numPr>
          <w:ilvl w:val="1"/>
          <w:numId w:val="1012"/>
        </w:numPr>
        <w:pStyle w:val="Compact"/>
      </w:pPr>
      <w:r>
        <w:t xml:space="preserve">Non-Recycled Portion = 0.15 kg * 0.40 = 0.06 kg</w:t>
      </w:r>
    </w:p>
    <w:p>
      <w:pPr>
        <w:numPr>
          <w:ilvl w:val="1"/>
          <w:numId w:val="1012"/>
        </w:numPr>
        <w:pStyle w:val="Compact"/>
      </w:pPr>
      <w:r>
        <w:t xml:space="preserve">Non-Recycled Disposal Emissions = 0.06 kg * 0.1 kg CO2e/kg = 0.006 kg CO2e</w:t>
      </w:r>
    </w:p>
    <w:p>
      <w:pPr>
        <w:numPr>
          <w:ilvl w:val="1"/>
          <w:numId w:val="1012"/>
        </w:numPr>
        <w:pStyle w:val="Compact"/>
      </w:pPr>
      <w:r>
        <w:t xml:space="preserve">Total EoL Emissions = 0.0018 + 0.006 = 0.0078 kg CO2e</w:t>
      </w:r>
    </w:p>
    <w:bookmarkEnd w:id="30"/>
    <w:bookmarkStart w:id="31" w:name="Xa7b63bb31fe343e7d304b6f57912dd5485b0c00"/>
    <w:p>
      <w:pPr>
        <w:pStyle w:val="Heading3"/>
      </w:pPr>
      <w:r>
        <w:t xml:space="preserve">Summary of Product Carbon Footprint (PCF)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4.0095</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0.9000</w:t>
            </w:r>
          </w:p>
        </w:tc>
      </w:tr>
      <w:tr>
        <w:tc>
          <w:tcPr/>
          <w:p>
            <w:pPr>
              <w:pStyle w:val="Compact"/>
              <w:jc w:val="left"/>
            </w:pPr>
            <w:r>
              <w:t xml:space="preserve">Transport - Distribution</w:t>
            </w:r>
          </w:p>
        </w:tc>
        <w:tc>
          <w:tcPr/>
          <w:p>
            <w:pPr>
              <w:pStyle w:val="Compact"/>
              <w:jc w:val="left"/>
            </w:pPr>
            <w:r>
              <w:t xml:space="preserve">Scope 3 (Downstream)</w:t>
            </w:r>
          </w:p>
        </w:tc>
        <w:tc>
          <w:tcPr/>
          <w:p>
            <w:pPr>
              <w:pStyle w:val="Compact"/>
              <w:jc w:val="left"/>
            </w:pPr>
            <w:r>
              <w:t xml:space="preserve">0.0248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2.1718</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0.0078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7.1146 kg CO2e/unit</w:t>
            </w:r>
          </w:p>
        </w:tc>
      </w:tr>
    </w:tbl>
    <w:bookmarkEnd w:id="31"/>
    <w:bookmarkStart w:id="32" w:name="compliance-with-2026-lsr-update"/>
    <w:p>
      <w:pPr>
        <w:pStyle w:val="Heading3"/>
      </w:pPr>
      <w:r>
        <w:t xml:space="preserve">Compliance with 2026 LSR Update</w:t>
      </w:r>
    </w:p>
    <w:p>
      <w:pPr>
        <w:pStyle w:val="FirstParagraph"/>
      </w:pPr>
      <w:r>
        <w:t xml:space="preserve">The GHG Protocol\'s Land Sector and Removals (LSR) Standard, released on January 30, 2026, and effective January 1, 2027, provides accounting requirements for land emissions and CO2 removals, particularly for entities with significant land sector activities (e.g., agriculture, bioenergy). For the fhoyvvhvph (Smart Home Sensor), direct land sector activities are not a primary component of its lifecycle. The land-use impacts associated with raw material extraction (e.g., mining for metals, petroleum for plastics) are inherently embedded within the upstream emission factors sourced from comprehensive databases like Ecoinvent. Should nxujljxyel\'s operations involve direct agricultural or forestry activities, a more granular application of the LSR Standard would be critical.</w:t>
      </w:r>
    </w:p>
    <w:bookmarkEnd w:id="32"/>
    <w:bookmarkStart w:id="33" w:name="scope-3-compliance"/>
    <w:p>
      <w:pPr>
        <w:pStyle w:val="Heading3"/>
      </w:pPr>
      <w:r>
        <w:t xml:space="preserve">Scope 3 Compliance</w:t>
      </w:r>
    </w:p>
    <w:p>
      <w:pPr>
        <w:pStyle w:val="FirstParagraph"/>
      </w:pPr>
      <w:r>
        <w:t xml:space="preserve">This analysis achieves robust Scope 3 reporting by comprehensively detailing emissions from materials acquisition, transport, product use, and end-of-life treatment. Based on the detailed breakdown, Scope 3 emissions account for approximately 87.35% (6.2146 / 7.1146) of the total PCF, demonstrating substantial coverage. While the target is "at least 95% coverage for Scope 3 reporting as per 2026 requirements," the calculated value represents a significant portion and efforts would be ongoing to capture more granular data to reach 95% for all subcategories, especially for purchased goods and services and capital goods. Small, indirect Scope 1 emissions (e.g., from minor on-site fuel consumption not directly tied to electricity generation) are assumed to be negligible or implicitly accounted for within Scope 2 electricity factors, consistent with many PCF studies focusing on the most material impacts.</w:t>
      </w:r>
    </w:p>
    <w:p>
      <w:r>
        <w:pict>
          <v:rect style="width:0;height:1.5pt" o:hralign="center" o:hrstd="t" o:hr="t"/>
        </w:pict>
      </w:r>
    </w:p>
    <w:bookmarkEnd w:id="33"/>
    <w:bookmarkEnd w:id="34"/>
    <w:bookmarkStart w:id="38" w:name="review-report"/>
    <w:p>
      <w:pPr>
        <w:pStyle w:val="Heading2"/>
      </w:pPr>
      <w:r>
        <w:t xml:space="preserve">5. Review &amp; Report</w:t>
      </w:r>
    </w:p>
    <w:bookmarkStart w:id="35" w:name="hotspots-and-reliability"/>
    <w:p>
      <w:pPr>
        <w:pStyle w:val="Heading3"/>
      </w:pPr>
      <w:r>
        <w:t xml:space="preserve">Hotspots and Reliability</w:t>
      </w:r>
    </w:p>
    <w:p>
      <w:pPr>
        <w:pStyle w:val="FirstParagraph"/>
      </w:pPr>
      <w:r>
        <w:t xml:space="preserve">The primary carbon hotspots for the fhoyvvhvph (Smart Home Sensor) are identified as:</w:t>
      </w:r>
    </w:p>
    <w:p>
      <w:pPr>
        <w:numPr>
          <w:ilvl w:val="0"/>
          <w:numId w:val="1013"/>
        </w:numPr>
        <w:pStyle w:val="Compact"/>
      </w:pPr>
      <w:r>
        <w:rPr>
          <w:bCs/>
          <w:b/>
        </w:rPr>
        <w:t xml:space="preserve">Materials Acquisition &amp; Production (Scope 3):</w:t>
      </w:r>
      <w:r>
        <w:t xml:space="preserve"> </w:t>
      </w:r>
      <w:r>
        <w:t xml:space="preserve">Representing approximately 56.36% of the total PCF (4.0095 kg CO2e). The high impact is largely driven by the Printed Circuit Board (PCB) and Lithium-ion Battery, due to their complex manufacturing processes and resource intensity.</w:t>
      </w:r>
    </w:p>
    <w:p>
      <w:pPr>
        <w:numPr>
          <w:ilvl w:val="0"/>
          <w:numId w:val="1013"/>
        </w:numPr>
        <w:pStyle w:val="Compact"/>
      </w:pPr>
      <w:r>
        <w:rPr>
          <w:bCs/>
          <w:b/>
        </w:rPr>
        <w:t xml:space="preserve">Use Phase (Scope 3):</w:t>
      </w:r>
      <w:r>
        <w:t xml:space="preserve"> </w:t>
      </w:r>
      <w:r>
        <w:t xml:space="preserve">Contributing approximately 30.53% of the total PCF (2.1718 kg CO2e), primarily due to electricity consumption over the product\'s 5-year lifespan.</w:t>
      </w:r>
    </w:p>
    <w:p>
      <w:pPr>
        <w:numPr>
          <w:ilvl w:val="0"/>
          <w:numId w:val="1013"/>
        </w:numPr>
        <w:pStyle w:val="Compact"/>
      </w:pPr>
      <w:r>
        <w:rPr>
          <w:bCs/>
          <w:b/>
        </w:rPr>
        <w:t xml:space="preserve">Manufacturing Energy (Scope 2):</w:t>
      </w:r>
      <w:r>
        <w:t xml:space="preserve"> </w:t>
      </w:r>
      <w:r>
        <w:t xml:space="preserve">Accounts for approximately 12.65% (0.9 kg CO2e), reflecting the energy intensity of production in China and the current grid mix despite 40% renewable energy usage.</w:t>
      </w:r>
    </w:p>
    <w:p>
      <w:pPr>
        <w:pStyle w:val="FirstParagraph"/>
      </w:pPr>
      <w:r>
        <w:t xml:space="preserve">The reliability of this assessment is high for the stages where specific parameters and detailed BOM data were provided. Secondary data, such as generic emission factors for transport and end-of-life, introduce a degree of uncertainty. These factors are based on industry averages (e.g., from Ecoinvent/DEFRA) and may not perfectly reflect nxujljxyel\'s specific supplier practices.</w:t>
      </w:r>
    </w:p>
    <w:bookmarkEnd w:id="35"/>
    <w:bookmarkStart w:id="36" w:name="recommendations-for-ghg-reduction"/>
    <w:p>
      <w:pPr>
        <w:pStyle w:val="Heading3"/>
      </w:pPr>
      <w:r>
        <w:t xml:space="preserve">Recommendations for GHG Reduction</w:t>
      </w:r>
    </w:p>
    <w:p>
      <w:pPr>
        <w:numPr>
          <w:ilvl w:val="0"/>
          <w:numId w:val="1014"/>
        </w:numPr>
        <w:pStyle w:val="Compact"/>
      </w:pPr>
      <w:r>
        <w:rPr>
          <w:bCs/>
          <w:b/>
        </w:rPr>
        <w:t xml:space="preserve">Material Optimization:</w:t>
      </w:r>
      <w:r>
        <w:t xml:space="preserve"> </w:t>
      </w:r>
      <w:r>
        <w:t xml:space="preserve">Focus on redesigning the PCB for lower impact components or exploring alternative battery chemistries with reduced carbon footprints. Engage with suppliers to gain more granular, primary data on component-level emissions.</w:t>
      </w:r>
    </w:p>
    <w:p>
      <w:pPr>
        <w:numPr>
          <w:ilvl w:val="0"/>
          <w:numId w:val="1014"/>
        </w:numPr>
        <w:pStyle w:val="Compact"/>
      </w:pPr>
      <w:r>
        <w:rPr>
          <w:bCs/>
          <w:b/>
        </w:rPr>
        <w:t xml:space="preserve">Renewable Energy Adoption:</w:t>
      </w:r>
      <w:r>
        <w:t xml:space="preserve"> </w:t>
      </w:r>
      <w:r>
        <w:t xml:space="preserve">Increase the percentage of renewable energy used in the manufacturing facilities in China beyond the current 40%. This could involve sourcing more renewable electricity or investing in on-site renewable energy generation.</w:t>
      </w:r>
    </w:p>
    <w:p>
      <w:pPr>
        <w:numPr>
          <w:ilvl w:val="0"/>
          <w:numId w:val="1014"/>
        </w:numPr>
        <w:pStyle w:val="Compact"/>
      </w:pPr>
      <w:r>
        <w:rPr>
          <w:bCs/>
          <w:b/>
        </w:rPr>
        <w:t xml:space="preserve">Energy Efficiency in Use:</w:t>
      </w:r>
      <w:r>
        <w:t xml:space="preserve"> </w:t>
      </w:r>
      <w:r>
        <w:t xml:space="preserve">Explore technologies to further reduce the product\'s energy consumption during its use phase. Educate consumers on energy-efficient usage patterns.</w:t>
      </w:r>
    </w:p>
    <w:p>
      <w:pPr>
        <w:numPr>
          <w:ilvl w:val="0"/>
          <w:numId w:val="1014"/>
        </w:numPr>
        <w:pStyle w:val="Compact"/>
      </w:pPr>
      <w:r>
        <w:rPr>
          <w:bCs/>
          <w:b/>
        </w:rPr>
        <w:t xml:space="preserve">Circular Economy Integration:</w:t>
      </w:r>
      <w:r>
        <w:t xml:space="preserve"> </w:t>
      </w:r>
      <w:r>
        <w:t xml:space="preserve">Strengthen and expand the existing circular/take-back programs (oxmmhdytxt) to maximize material recovery and recycling rates (mpqnjwjjsw) beyond 60%, minimizing waste sent to landfill or incineration.</w:t>
      </w:r>
    </w:p>
    <w:p>
      <w:pPr>
        <w:numPr>
          <w:ilvl w:val="0"/>
          <w:numId w:val="1014"/>
        </w:numPr>
        <w:pStyle w:val="Compact"/>
      </w:pPr>
      <w:r>
        <w:rPr>
          <w:bCs/>
          <w:b/>
        </w:rPr>
        <w:t xml:space="preserve">Logistics Optimization:</w:t>
      </w:r>
      <w:r>
        <w:t xml:space="preserve"> </w:t>
      </w:r>
      <w:r>
        <w:t xml:space="preserve">While transport is a smaller contributor, continuous optimization of logistics routes, modes, and load factors can further reduce emissions.</w:t>
      </w:r>
    </w:p>
    <w:bookmarkEnd w:id="36"/>
    <w:bookmarkStart w:id="37" w:name="limitations"/>
    <w:p>
      <w:pPr>
        <w:pStyle w:val="Heading3"/>
      </w:pPr>
      <w:r>
        <w:t xml:space="preserve">Limitations</w:t>
      </w:r>
    </w:p>
    <w:p>
      <w:pPr>
        <w:pStyle w:val="FirstParagraph"/>
      </w:pPr>
      <w:r>
        <w:t xml:space="preserve">This report is based on the parameters and placeholder data provided. The accuracy is therefore dependent on the representativeness of these assumed values. Specific limitations include:</w:t>
      </w:r>
    </w:p>
    <w:p>
      <w:pPr>
        <w:numPr>
          <w:ilvl w:val="0"/>
          <w:numId w:val="1015"/>
        </w:numPr>
        <w:pStyle w:val="Compact"/>
      </w:pPr>
      <w:r>
        <w:t xml:space="preserve">**Placeholder Data:** Emission factors for certain categories are generic industry averages (Ecoinvent/DEFRA) due to the nature of the request, rather than supplier-specific primary data.</w:t>
      </w:r>
    </w:p>
    <w:p>
      <w:pPr>
        <w:numPr>
          <w:ilvl w:val="0"/>
          <w:numId w:val="1015"/>
        </w:numPr>
        <w:pStyle w:val="Compact"/>
      </w:pPr>
      <w:r>
        <w:t xml:space="preserve">**Geographic Specificity of EFs:** While efforts were made to use region-specific EFs (China grid, EU grid), variations within these broad regions are not captured.</w:t>
      </w:r>
    </w:p>
    <w:p>
      <w:pPr>
        <w:numPr>
          <w:ilvl w:val="0"/>
          <w:numId w:val="1015"/>
        </w:numPr>
        <w:pStyle w:val="Compact"/>
      </w:pPr>
      <w:r>
        <w:t xml:space="preserve">**Scope 1 Simplification:** Direct Scope 1 emissions at the manufacturing site (beyond electricity generation, if applicable) are considered negligible for the product PCF and are largely embedded in the Scope 2 emissions for purchased electricity.</w:t>
      </w:r>
    </w:p>
    <w:p>
      <w:pPr>
        <w:numPr>
          <w:ilvl w:val="0"/>
          <w:numId w:val="1015"/>
        </w:numPr>
        <w:pStyle w:val="Compact"/>
      </w:pPr>
      <w:r>
        <w:t xml:space="preserve">**EoL Complexity:** The EoL scenario uses simplified emission factors for recycling and residual waste, as detailed material-specific EoL pathways and geographically varied waste management infrastructure are complex to model without specific data.</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fhoyvvhvph</dc:title>
  <dc:creator/>
  <dc:description>Detailed Product Carbon Footprint (PCF) analysis for Smart Home Sensor (fhoyvvhvph) by mtxzvofmdy, Senior Sustainability Consultant at GlobalTech Solutions (nxujljxyel), adhering to GHG Protocol and 2026 LSR Update.</dc:description>
  <dc:language>en</dc:language>
  <cp:keywords/>
  <dcterms:created xsi:type="dcterms:W3CDTF">2026-07-15T18:39:17Z</dcterms:created>
  <dcterms:modified xsi:type="dcterms:W3CDTF">2026-07-15T18:39:17Z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