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fhnhyudkfv</w:t>
      </w:r>
      <w:r>
        <w:t xml:space="preserve"> </w:t>
      </w:r>
      <w:r>
        <w:t xml:space="preserve">-</w:t>
      </w:r>
      <w:r>
        <w:t xml:space="preserve"> </w:t>
      </w:r>
      <w:r>
        <w:t xml:space="preserve">khlwddvmog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hnhyudkfv"/>
    <w:p>
      <w:pPr>
        <w:pStyle w:val="Heading2"/>
      </w:pPr>
      <w:r>
        <w:t xml:space="preserve">Product: fhnhyudkfv</w:t>
      </w:r>
    </w:p>
    <w:p>
      <w:pPr>
        <w:pStyle w:val="FirstParagraph"/>
      </w:pPr>
      <w:r>
        <w:rPr>
          <w:bCs/>
          <w:b/>
        </w:rPr>
        <w:t xml:space="preserve">Company Name:</w:t>
      </w:r>
      <w:r>
        <w:t xml:space="preserve"> </w:t>
      </w:r>
      <w:r>
        <w:t xml:space="preserve">khlwddvmog</w:t>
      </w:r>
    </w:p>
    <w:p>
      <w:pPr>
        <w:pStyle w:val="BodyText"/>
      </w:pPr>
      <w:r>
        <w:rPr>
          <w:bCs/>
          <w:b/>
        </w:rPr>
        <w:t xml:space="preserve">Senior Sustainability Consultant:</w:t>
      </w:r>
      <w:r>
        <w:t xml:space="preserve"> </w:t>
      </w:r>
      <w:r>
        <w:t xml:space="preserve">kuugsetoks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Assumptions have been made for placeholder parameters (e.g., Bill of Materials, transport details, energy data, use phase, and end-of-life scenarios)</w:t>
      </w:r>
      <w:r>
        <w:t xml:space="preserve"> </w:t>
      </w:r>
      <w:r>
        <w:t xml:space="preserve">where specific inputs were not provided, and these are explicitly stated within the report.</w:t>
      </w:r>
      <w:r>
        <w:t xml:space="preserve"> </w:t>
      </w:r>
      <w:r>
        <w:t xml:space="preserve">Actual primary data for all parameters would be required for a definitive, auditable calculation.</w:t>
      </w:r>
    </w:p>
    <w:bookmarkEnd w:id="20"/>
    <w:bookmarkEnd w:id="21"/>
    <w:p>
      <w:pPr>
        <w:pStyle w:val="BodyText"/>
      </w:pPr>
      <w:r>
        <w:t xml:space="preserve">Generated Date: June 2, 2026</w:t>
      </w:r>
    </w:p>
    <w:bookmarkStart w:id="50" w:name="Xf2e6ab5be446359d80f42f50d41e46314dfe19d"/>
    <w:p>
      <w:pPr>
        <w:pStyle w:val="Heading1"/>
      </w:pPr>
      <w:r>
        <w:t xml:space="preserve">Product Carbon Footprint (PCF) Analysis Report</w:t>
      </w:r>
    </w:p>
    <w:bookmarkStart w:id="22" w:name="for-fhnhyudkfv"/>
    <w:p>
      <w:pPr>
        <w:pStyle w:val="Heading2"/>
      </w:pPr>
      <w:r>
        <w:t xml:space="preserve">for fhnhyudkfv</w:t>
      </w:r>
    </w:p>
    <w:p>
      <w:pPr>
        <w:pStyle w:val="FirstParagraph"/>
      </w:pPr>
      <w:r>
        <w:rPr>
          <w:bCs/>
          <w:b/>
        </w:rPr>
        <w:t xml:space="preserve">Company:</w:t>
      </w:r>
      <w:r>
        <w:t xml:space="preserve"> </w:t>
      </w:r>
      <w:r>
        <w:t xml:space="preserve">khlwddvmog</w:t>
      </w:r>
    </w:p>
    <w:p>
      <w:pPr>
        <w:pStyle w:val="BodyText"/>
      </w:pPr>
      <w:r>
        <w:rPr>
          <w:bCs/>
          <w:b/>
        </w:rPr>
        <w:t xml:space="preserve">Senior Sustainability Consultant:</w:t>
      </w:r>
      <w:r>
        <w:t xml:space="preserve"> </w:t>
      </w:r>
      <w:r>
        <w:t xml:space="preserve">kuugsetoks</w:t>
      </w:r>
    </w:p>
    <w:p>
      <w:pPr>
        <w:pStyle w:val="BodyText"/>
      </w:pPr>
      <w:r>
        <w:rPr>
          <w:bCs/>
          <w:b/>
        </w:rPr>
        <w:t xml:space="preserve">Accounting Standard:</w:t>
      </w:r>
      <w:r>
        <w:t xml:space="preserve"> </w:t>
      </w:r>
      <w:r>
        <w:t xml:space="preserve">GHG Protocol</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fhnhyudkfv, manufactured by khlwddvmog.</w:t>
      </w:r>
      <w:r>
        <w:t xml:space="preserve"> </w:t>
      </w:r>
      <w:r>
        <w:t xml:space="preserve">The analysis adheres to the GHG Protocol standards, categorizing emissions into Scope 1 (direct), Scope 2 (purchased energy), and Scope 3 (value chain).</w:t>
      </w:r>
      <w:r>
        <w:t xml:space="preserve"> </w:t>
      </w:r>
      <w:r>
        <w:t xml:space="preserve">Special attention has been given to the 2026 Land Sector and Removals (LSR) Standard update and ensuring at least 95% coverage for Scope 3 reporting.</w:t>
      </w:r>
      <w:r>
        <w:t xml:space="preserve"> </w:t>
      </w:r>
      <w:r>
        <w:t xml:space="preserve">The PCF quantifies the total greenhouse gas (GHG) emissions associated with the product\'s entire lifecycle, from raw material extraction to end-of-life, expressed in kilograms of carbon dioxide equivalent (kg CO2e) per functional unit.</w:t>
      </w:r>
      <w:r>
        <w:t xml:space="preserve"> </w:t>
      </w:r>
      <w:r>
        <w:t xml:space="preserve">The primary purpose of this analysis is to identify emission hotspots, inform sustainability strategies, and establish a baseline for future reduction efforts.</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fhnhyudkfv</w:t>
      </w:r>
      <w:r>
        <w:t xml:space="preserve">.</w:t>
      </w:r>
    </w:p>
    <w:bookmarkEnd w:id="24"/>
    <w:bookmarkStart w:id="25" w:name="system-boundary"/>
    <w:p>
      <w:pPr>
        <w:pStyle w:val="Heading3"/>
      </w:pPr>
      <w:r>
        <w:t xml:space="preserve">System Boundary:</w:t>
      </w:r>
    </w:p>
    <w:p>
      <w:pPr>
        <w:pStyle w:val="FirstParagraph"/>
      </w:pPr>
      <w:r>
        <w:t xml:space="preserve">This analysis adopts a "cradle-to-grave" system boundary, encompassing all stages of the product\'s life cycle. This includes:</w:t>
      </w:r>
    </w:p>
    <w:p>
      <w:pPr>
        <w:numPr>
          <w:ilvl w:val="0"/>
          <w:numId w:val="1001"/>
        </w:numPr>
        <w:pStyle w:val="Compact"/>
      </w:pPr>
      <w:r>
        <w:t xml:space="preserve">Raw material extraction and processing (upstream)</w:t>
      </w:r>
    </w:p>
    <w:p>
      <w:pPr>
        <w:numPr>
          <w:ilvl w:val="0"/>
          <w:numId w:val="1001"/>
        </w:numPr>
        <w:pStyle w:val="Compact"/>
      </w:pPr>
      <w:r>
        <w:t xml:space="preserve">Manufacturing and assembly at the production facility</w:t>
      </w:r>
    </w:p>
    <w:p>
      <w:pPr>
        <w:numPr>
          <w:ilvl w:val="0"/>
          <w:numId w:val="1001"/>
        </w:numPr>
        <w:pStyle w:val="Compact"/>
      </w:pPr>
      <w:r>
        <w:t xml:space="preserve">Transportation to the customer (inbound and outbound logistics, including last-mile delivery)</w:t>
      </w:r>
    </w:p>
    <w:p>
      <w:pPr>
        <w:numPr>
          <w:ilvl w:val="0"/>
          <w:numId w:val="1001"/>
        </w:numPr>
        <w:pStyle w:val="Compact"/>
      </w:pPr>
      <w:r>
        <w:t xml:space="preserve">Product use phase (energy consumption during active use)</w:t>
      </w:r>
    </w:p>
    <w:p>
      <w:pPr>
        <w:numPr>
          <w:ilvl w:val="0"/>
          <w:numId w:val="1001"/>
        </w:numPr>
        <w:pStyle w:val="Compact"/>
      </w:pPr>
      <w:r>
        <w:t xml:space="preserve">End-of-life treatment (recycling, disposal)</w:t>
      </w:r>
    </w:p>
    <w:bookmarkEnd w:id="25"/>
    <w:bookmarkStart w:id="26"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significant upstream materials and downstream distribution may involve European logistics and markets. The use phase is assumed to predominantly occur in Europe.</w:t>
      </w:r>
    </w:p>
    <w:bookmarkEnd w:id="26"/>
    <w:bookmarkStart w:id="27" w:name="allocation"/>
    <w:p>
      <w:pPr>
        <w:pStyle w:val="Heading3"/>
      </w:pPr>
      <w:r>
        <w:t xml:space="preserve">Allocation:</w:t>
      </w:r>
    </w:p>
    <w:p>
      <w:pPr>
        <w:pStyle w:val="FirstParagraph"/>
      </w:pPr>
      <w:r>
        <w:t xml:space="preserve">Emissions are allocated directly to the functional unit. For multi-functional processes, mass-based allocation is applied where appropriate, consistent with GHG Protocol guidance. Where recycling is considered at End-of-Life, the "avoided burden" approach is used to reflect the benefits of circularity.</w:t>
      </w:r>
    </w:p>
    <w:p>
      <w:pPr>
        <w:pStyle w:val="BodyText"/>
      </w:pPr>
      <w:r>
        <w:rPr>
          <w:bCs/>
          <w:b/>
        </w:rPr>
        <w:t xml:space="preserve">Accounting Standard:</w:t>
      </w:r>
      <w:r>
        <w:t xml:space="preserve"> </w:t>
      </w:r>
      <w:r>
        <w:t xml:space="preserve">This report strictly adheres to the Greenhouse Gas Protocol (GHG Protocol) for corporate accounting and reporting, including its Corporate Standard and Scope 3 Standard.</w:t>
      </w:r>
    </w:p>
    <w:p>
      <w:pPr>
        <w:pStyle w:val="BodyText"/>
      </w:pPr>
      <w:r>
        <w:rPr>
          <w:bCs/>
          <w:b/>
        </w:rPr>
        <w:t xml:space="preserve">2026 LSR Update:</w:t>
      </w:r>
      <w:r>
        <w:t xml:space="preserve"> </w:t>
      </w:r>
      <w:r>
        <w:t xml:space="preserve">The Land Sector and Removals (LSR) Standard, effective January 1, 2027, is acknowledged. While direct land-use change data is not explicitly provided for the manufacturing process of fhnhyudkfv, its principles regarding biogenic emissions and removals are considered within the upstream material emission factors. Should more detailed land-use information become available for raw materials, a dedicated LSR assessment would be integrated. At the current time (Q2 2026), accompanying guidance for the LSR standard is expected to be published.</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The lifecycle of fhnhyudkfv is mapped across several key stages, and data is collected for each. Due to placeholder inputs, specific illustrative data points have been generated and clearly identified as such.</w:t>
      </w:r>
      <w:r>
        <w:t xml:space="preserve"> </w:t>
      </w:r>
      <w:r>
        <w:t xml:space="preserve">Emission factors are sourced from industry-standard databases, primarily proxies from Ecoinvent and DEFRA, consistent with GHG Protocol recommendations for secondary data.</w:t>
      </w:r>
    </w:p>
    <w:bookmarkStart w:id="29" w:name="Xf964b50767d9363c81abfbbbb2cb083ff9f406d"/>
    <w:p>
      <w:pPr>
        <w:pStyle w:val="Heading3"/>
      </w:pPr>
      <w:r>
        <w:t xml:space="preserve">Raw Materials &amp; Manufacturing (Upstream &amp; Production)</w:t>
      </w:r>
    </w:p>
    <w:p>
      <w:pPr>
        <w:pStyle w:val="FirstParagraph"/>
      </w:pPr>
      <w:r>
        <w:t xml:space="preserve">The Detailed Bill of Materials (BOM) for fhnhyudkfv (illustrative example based on \'xrxksxue\' placeholder) is presented below. Material emission factors (kg CO2e/kg) are representative industry averages for cradle-to-gate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6</w:t>
            </w:r>
          </w:p>
        </w:tc>
        <w:tc>
          <w:tcPr/>
          <w:p>
            <w:pPr>
              <w:pStyle w:val="Compact"/>
              <w:jc w:val="left"/>
            </w:pPr>
            <w:r>
              <w:t xml:space="preserve">Packaging (Corrugated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w:t>
            </w:r>
          </w:p>
        </w:tc>
      </w:tr>
      <w:tr>
        <w:tc>
          <w:tcPr>
            <w:gridSpan w:val="7"/>
          </w:tcPr>
          <w:p>
            <w:pPr>
              <w:pStyle w:val="Compact"/>
              <w:jc w:val="right"/>
            </w:pPr>
            <w:r>
              <w:rPr>
                <w:bCs/>
                <w:b/>
              </w:rPr>
              <w:t xml:space="preserve">Total Material Carbon (kgCO2e):</w:t>
            </w:r>
          </w:p>
        </w:tc>
        <w:tc>
          <w:tcPr/>
          <w:p>
            <w:pPr>
              <w:pStyle w:val="Compact"/>
              <w:jc w:val="left"/>
            </w:pPr>
            <w:r>
              <w:rPr>
                <w:bCs/>
                <w:b/>
              </w:rPr>
              <w:t xml:space="preserve">9.01</w:t>
            </w:r>
          </w:p>
        </w:tc>
      </w:tr>
    </w:tbl>
    <w:p>
      <w:pPr>
        <w:pStyle w:val="BodyText"/>
      </w:pPr>
      <w:r>
        <w:rPr>
          <w:iCs/>
          <w:i/>
        </w:rPr>
        <w:t xml:space="preserve">Note: Emission factors are illustrative averages. Precision would require specific supplier data or detailed LCA data from databases like Ecoinvent. Total Carbon for each item is calculated as Qty * Emission Factor.</w:t>
      </w:r>
    </w:p>
    <w:bookmarkEnd w:id="29"/>
    <w:bookmarkStart w:id="30" w:name="production-energy-inputs"/>
    <w:p>
      <w:pPr>
        <w:pStyle w:val="Heading3"/>
      </w:pPr>
      <w:r>
        <w:t xml:space="preserve">Production Energy Inputs:</w:t>
      </w:r>
    </w:p>
    <w:p>
      <w:pPr>
        <w:numPr>
          <w:ilvl w:val="0"/>
          <w:numId w:val="1002"/>
        </w:numPr>
        <w:pStyle w:val="Compact"/>
      </w:pPr>
      <w:r>
        <w:rPr>
          <w:bCs/>
          <w:b/>
        </w:rPr>
        <w:t xml:space="preserve">Energy Intensity (kWh/unit):</w:t>
      </w:r>
      <w:r>
        <w:t xml:space="preserve"> </w:t>
      </w:r>
      <w:r>
        <w:t xml:space="preserve">25 kWh/unit (Illustrative, based on \'skrvtofxks\' placeholder)</w:t>
      </w:r>
    </w:p>
    <w:p>
      <w:pPr>
        <w:numPr>
          <w:ilvl w:val="0"/>
          <w:numId w:val="1002"/>
        </w:numPr>
        <w:pStyle w:val="Compact"/>
      </w:pPr>
      <w:r>
        <w:rPr>
          <w:bCs/>
          <w:b/>
        </w:rPr>
        <w:t xml:space="preserve">Renewable Energy Usage:</w:t>
      </w:r>
      <w:r>
        <w:t xml:space="preserve"> </w:t>
      </w:r>
      <w:r>
        <w:t xml:space="preserve">60% (Illustrative, based on \'mtwtftozeg\' placeholder)</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Emission Factor (China Grid Mix, 2021 average):</w:t>
      </w:r>
      <w:r>
        <w:t xml:space="preserve"> </w:t>
      </w:r>
      <w:r>
        <w:t xml:space="preserve">~0.6 kgCO2e/kWh (for non-renewable portion)</w:t>
      </w:r>
    </w:p>
    <w:bookmarkEnd w:id="30"/>
    <w:bookmarkStart w:id="31" w:name="logistics-data"/>
    <w:p>
      <w:pPr>
        <w:pStyle w:val="Heading3"/>
      </w:pPr>
      <w:r>
        <w:t xml:space="preserve">Logistics Data:</w:t>
      </w:r>
    </w:p>
    <w:p>
      <w:pPr>
        <w:numPr>
          <w:ilvl w:val="0"/>
          <w:numId w:val="1003"/>
        </w:numPr>
        <w:pStyle w:val="Compact"/>
      </w:pPr>
      <w:r>
        <w:rPr>
          <w:bCs/>
          <w:b/>
        </w:rPr>
        <w:t xml:space="preserve">Primary Transport Mode (Illustrative):</w:t>
      </w:r>
      <w:r>
        <w:t xml:space="preserve"> </w:t>
      </w:r>
      <w:r>
        <w:t xml:space="preserve">Road freight (Heavy Goods Vehicle - HGV)</w:t>
      </w:r>
    </w:p>
    <w:p>
      <w:pPr>
        <w:numPr>
          <w:ilvl w:val="0"/>
          <w:numId w:val="1003"/>
        </w:numPr>
        <w:pStyle w:val="Compact"/>
      </w:pPr>
      <w:r>
        <w:rPr>
          <w:bCs/>
          <w:b/>
        </w:rPr>
        <w:t xml:space="preserve">Transport Distance (Illustrative):</w:t>
      </w:r>
      <w:r>
        <w:t xml:space="preserve"> </w:t>
      </w:r>
      <w:r>
        <w:t xml:space="preserve">1,500 km (Assumed for transport from Europe-focused supply chain to China production facility, or from China to initial distribution hub in Europe, based on \'wudrfwmrlz\' placeholder)</w:t>
      </w:r>
    </w:p>
    <w:p>
      <w:pPr>
        <w:numPr>
          <w:ilvl w:val="0"/>
          <w:numId w:val="1003"/>
        </w:numPr>
        <w:pStyle w:val="Compact"/>
      </w:pPr>
      <w:r>
        <w:rPr>
          <w:bCs/>
          <w:b/>
        </w:rPr>
        <w:t xml:space="preserve">Primary Transport Emission Factor (HGV):</w:t>
      </w:r>
      <w:r>
        <w:t xml:space="preserve"> </w:t>
      </w:r>
      <w:r>
        <w:t xml:space="preserve">0.08 kgCO2e/tonne-km (Illustrative, Ecoinvent/DEFRA proxy for heavy road freight)</w:t>
      </w:r>
    </w:p>
    <w:p>
      <w:pPr>
        <w:numPr>
          <w:ilvl w:val="0"/>
          <w:numId w:val="1003"/>
        </w:numPr>
        <w:pStyle w:val="Compact"/>
      </w:pPr>
      <w:r>
        <w:rPr>
          <w:bCs/>
          <w:b/>
        </w:rPr>
        <w:t xml:space="preserve">Product Weight for Transport:</w:t>
      </w:r>
      <w:r>
        <w:t xml:space="preserve"> </w:t>
      </w:r>
      <w:r>
        <w:t xml:space="preserve">Sum of BOM materials (approx. 0.95 kg/unit, rounded to 1.0 kg/unit for transport calculations for simplicity)</w:t>
      </w:r>
    </w:p>
    <w:p>
      <w:pPr>
        <w:numPr>
          <w:ilvl w:val="0"/>
          <w:numId w:val="1003"/>
        </w:numPr>
        <w:pStyle w:val="Compact"/>
      </w:pPr>
      <w:r>
        <w:rPr>
          <w:bCs/>
          <w:b/>
        </w:rPr>
        <w:t xml:space="preserve">Last-Mile Delivery Channel (Illustrative):</w:t>
      </w:r>
      <w:r>
        <w:t xml:space="preserve"> </w:t>
      </w:r>
      <w:r>
        <w:t xml:space="preserve">Courier Van (Diesel) (Based on \'Delivery Type\' placeholder)</w:t>
      </w:r>
    </w:p>
    <w:p>
      <w:pPr>
        <w:numPr>
          <w:ilvl w:val="0"/>
          <w:numId w:val="1003"/>
        </w:numPr>
        <w:pStyle w:val="Compact"/>
      </w:pPr>
      <w:r>
        <w:rPr>
          <w:bCs/>
          <w:b/>
        </w:rPr>
        <w:t xml:space="preserve">Last-Mile Delivery Distance (Illustrative):</w:t>
      </w:r>
      <w:r>
        <w:t xml:space="preserve"> </w:t>
      </w:r>
      <w:r>
        <w:t xml:space="preserve">100 km (Average for local distribution)</w:t>
      </w:r>
    </w:p>
    <w:p>
      <w:pPr>
        <w:numPr>
          <w:ilvl w:val="0"/>
          <w:numId w:val="1003"/>
        </w:numPr>
        <w:pStyle w:val="Compact"/>
      </w:pPr>
      <w:r>
        <w:rPr>
          <w:bCs/>
          <w:b/>
        </w:rPr>
        <w:t xml:space="preserve">Last-Mile Delivery Emission Factor (Diesel Van):</w:t>
      </w:r>
      <w:r>
        <w:t xml:space="preserve"> </w:t>
      </w:r>
      <w:r>
        <w:t xml:space="preserve">0.15 kgCO2e/km (Illustrative, DEFRA proxy)</w:t>
      </w:r>
    </w:p>
    <w:bookmarkEnd w:id="31"/>
    <w:bookmarkStart w:id="32" w:name="use-phase-data"/>
    <w:p>
      <w:pPr>
        <w:pStyle w:val="Heading3"/>
      </w:pPr>
      <w:r>
        <w:t xml:space="preserve">Use Phase Data:</w:t>
      </w:r>
    </w:p>
    <w:p>
      <w:pPr>
        <w:numPr>
          <w:ilvl w:val="0"/>
          <w:numId w:val="1004"/>
        </w:numPr>
        <w:pStyle w:val="Compact"/>
      </w:pPr>
      <w:r>
        <w:rPr>
          <w:bCs/>
          <w:b/>
        </w:rPr>
        <w:t xml:space="preserve">Product Lifespan (Illustrative):</w:t>
      </w:r>
      <w:r>
        <w:t xml:space="preserve"> </w:t>
      </w:r>
      <w:r>
        <w:t xml:space="preserve">5 years (Based on \'nlviqtjzpx\' placeholder)</w:t>
      </w:r>
    </w:p>
    <w:p>
      <w:pPr>
        <w:numPr>
          <w:ilvl w:val="0"/>
          <w:numId w:val="1004"/>
        </w:numPr>
        <w:pStyle w:val="Compact"/>
      </w:pPr>
      <w:r>
        <w:rPr>
          <w:bCs/>
          <w:b/>
        </w:rPr>
        <w:t xml:space="preserve">Energy Consumption in Use (Illustrative):</w:t>
      </w:r>
      <w:r>
        <w:t xml:space="preserve"> </w:t>
      </w:r>
      <w:r>
        <w:t xml:space="preserve">10 kWh/year (Based on \'vvddtewzqu\' placeholder)</w:t>
      </w:r>
    </w:p>
    <w:p>
      <w:pPr>
        <w:numPr>
          <w:ilvl w:val="0"/>
          <w:numId w:val="1004"/>
        </w:numPr>
        <w:pStyle w:val="Compact"/>
      </w:pPr>
      <w:r>
        <w:rPr>
          <w:bCs/>
          <w:b/>
        </w:rPr>
        <w:t xml:space="preserve">Total Use Phase Energy:</w:t>
      </w:r>
      <w:r>
        <w:t xml:space="preserve"> </w:t>
      </w:r>
      <w:r>
        <w:t xml:space="preserve">5 years * 10 kWh/year = 50 kWh</w:t>
      </w:r>
    </w:p>
    <w:p>
      <w:pPr>
        <w:numPr>
          <w:ilvl w:val="0"/>
          <w:numId w:val="1004"/>
        </w:numPr>
        <w:pStyle w:val="Compact"/>
      </w:pPr>
      <w:r>
        <w:rPr>
          <w:bCs/>
          <w:b/>
        </w:rPr>
        <w:t xml:space="preserve">Emission Factor (Average European Grid Mix):</w:t>
      </w:r>
      <w:r>
        <w:t xml:space="preserve"> </w:t>
      </w:r>
      <w:r>
        <w:t xml:space="preserve">~0.25 kgCO2e/kWh (Assumed for product use in Europe)</w:t>
      </w:r>
    </w:p>
    <w:bookmarkEnd w:id="32"/>
    <w:bookmarkStart w:id="33" w:name="end-of-life-eol-scenarios"/>
    <w:p>
      <w:pPr>
        <w:pStyle w:val="Heading3"/>
      </w:pPr>
      <w:r>
        <w:t xml:space="preserve">End-of-Life (EoL) Scenarios:</w:t>
      </w:r>
    </w:p>
    <w:p>
      <w:pPr>
        <w:numPr>
          <w:ilvl w:val="0"/>
          <w:numId w:val="1005"/>
        </w:numPr>
        <w:pStyle w:val="Compact"/>
      </w:pPr>
      <w:r>
        <w:rPr>
          <w:bCs/>
          <w:b/>
        </w:rPr>
        <w:t xml:space="preserve">Recyclability Percentage (Illustrative):</w:t>
      </w:r>
      <w:r>
        <w:t xml:space="preserve"> </w:t>
      </w:r>
      <w:r>
        <w:t xml:space="preserve">70% (Based on \'dznitmgjnk\' placeholder)</w:t>
      </w:r>
    </w:p>
    <w:p>
      <w:pPr>
        <w:numPr>
          <w:ilvl w:val="0"/>
          <w:numId w:val="1005"/>
        </w:numPr>
        <w:pStyle w:val="Compact"/>
      </w:pPr>
      <w:r>
        <w:rPr>
          <w:bCs/>
          <w:b/>
        </w:rPr>
        <w:t xml:space="preserve">Circular/Take-back Programs (Illustrative):</w:t>
      </w:r>
      <w:r>
        <w:t xml:space="preserve"> </w:t>
      </w:r>
      <w:r>
        <w:t xml:space="preserve">Active take-back program for key components and materials (Based on \'nmntqoxdlu\' placeholder)</w:t>
      </w:r>
    </w:p>
    <w:p>
      <w:pPr>
        <w:numPr>
          <w:ilvl w:val="0"/>
          <w:numId w:val="1005"/>
        </w:numPr>
        <w:pStyle w:val="Compact"/>
      </w:pPr>
      <w:r>
        <w:rPr>
          <w:bCs/>
          <w:b/>
        </w:rPr>
        <w:t xml:space="preserve">Avoided Emissions from Recycling (Illustrative Averages):</w:t>
      </w:r>
    </w:p>
    <w:p>
      <w:pPr>
        <w:numPr>
          <w:ilvl w:val="1"/>
          <w:numId w:val="1006"/>
        </w:numPr>
        <w:pStyle w:val="Compact"/>
      </w:pPr>
      <w:r>
        <w:t xml:space="preserve">Aluminum: -6.0 kgCO2e/kg (vs. primary production)</w:t>
      </w:r>
    </w:p>
    <w:p>
      <w:pPr>
        <w:numPr>
          <w:ilvl w:val="1"/>
          <w:numId w:val="1006"/>
        </w:numPr>
        <w:pStyle w:val="Compact"/>
      </w:pPr>
      <w:r>
        <w:t xml:space="preserve">Plastics: -2.0 kgCO2e/kg (vs. primary production)</w:t>
      </w:r>
    </w:p>
    <w:p>
      <w:pPr>
        <w:numPr>
          <w:ilvl w:val="1"/>
          <w:numId w:val="1006"/>
        </w:numPr>
        <w:pStyle w:val="Compact"/>
      </w:pPr>
      <w:r>
        <w:t xml:space="preserve">Cardboard: -0.5 kgCO2e/kg (vs. primary production)</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 A functional unit of 1.0 unit of fhnhyudkfv is used.</w:t>
      </w:r>
    </w:p>
    <w:bookmarkStart w:id="35" w:name="scope-1-direct-emissions"/>
    <w:p>
      <w:pPr>
        <w:pStyle w:val="Heading3"/>
      </w:pPr>
      <w:r>
        <w:t xml:space="preserve">Scope 1: Direct Emissions</w:t>
      </w:r>
    </w:p>
    <w:p>
      <w:pPr>
        <w:pStyle w:val="FirstParagraph"/>
      </w:pPr>
      <w:r>
        <w:t xml:space="preserve">For this product PCF, direct emissions from the manufacturing facility (e.g., fuel combustion in company-owned vehicles or boilers) are typically aggregated at the organizational level. For the product\'s PCF, these are generally covered under Scope 3 for "Purchased Goods and Services" or "Fuel- and energy-related activities not included in Scope 1 or 2" if attributed to the production process. Assuming production occurs at a supplier\'s facility without specific direct emissions attributed to *this specific product*, Scope 1 for the PCF is minimal and integrated into Scope 3 upstream categories for materials and energy.</w:t>
      </w:r>
    </w:p>
    <w:p>
      <w:pPr>
        <w:pStyle w:val="BodyText"/>
      </w:pPr>
      <w:r>
        <w:rPr>
          <w:bCs/>
          <w:b/>
        </w:rPr>
        <w:t xml:space="preserve">Total Scope 1 Emissions: 0.00 kgCO2e</w:t>
      </w:r>
      <w:r>
        <w:t xml:space="preserve"> </w:t>
      </w:r>
      <w:r>
        <w:t xml:space="preserve">(Direct product-specific operational emissions not accounted for at this level, embedded in Scope 3 calculations)</w:t>
      </w:r>
    </w:p>
    <w:bookmarkEnd w:id="35"/>
    <w:bookmarkStart w:id="36" w:name="scope-2-purchased-energy-emissions"/>
    <w:p>
      <w:pPr>
        <w:pStyle w:val="Heading3"/>
      </w:pPr>
      <w:r>
        <w:t xml:space="preserve">Scope 2: Purchased Energy Emissions</w:t>
      </w:r>
    </w:p>
    <w:p>
      <w:pPr>
        <w:pStyle w:val="FirstParagraph"/>
      </w:pPr>
      <w:r>
        <w:t xml:space="preserve">This includes indirect emissions from the generation of purchased electricity or heat consumed in the manufacturing process.</w:t>
      </w:r>
    </w:p>
    <w:p>
      <w:pPr>
        <w:numPr>
          <w:ilvl w:val="0"/>
          <w:numId w:val="1007"/>
        </w:numPr>
        <w:pStyle w:val="Compact"/>
      </w:pPr>
      <w:r>
        <w:t xml:space="preserve">Total Production Energy: 25 kWh/unit</w:t>
      </w:r>
    </w:p>
    <w:p>
      <w:pPr>
        <w:numPr>
          <w:ilvl w:val="0"/>
          <w:numId w:val="1007"/>
        </w:numPr>
        <w:pStyle w:val="Compact"/>
      </w:pPr>
      <w:r>
        <w:t xml:space="preserve">Renewable Energy Portion: 25 kWh * 60% = 15 kWh (Assumed 0 emissions for purchased verified renewable energy or on-site generation)</w:t>
      </w:r>
    </w:p>
    <w:p>
      <w:pPr>
        <w:numPr>
          <w:ilvl w:val="0"/>
          <w:numId w:val="1007"/>
        </w:numPr>
        <w:pStyle w:val="Compact"/>
      </w:pPr>
      <w:r>
        <w:t xml:space="preserve">Non-Renewable Energy Portion: 25 kWh * 40% = 10 kWh</w:t>
      </w:r>
    </w:p>
    <w:p>
      <w:pPr>
        <w:numPr>
          <w:ilvl w:val="0"/>
          <w:numId w:val="1007"/>
        </w:numPr>
        <w:pStyle w:val="Compact"/>
      </w:pPr>
      <w:r>
        <w:t xml:space="preserve">Emissions from Non-Renewable Energy: 10 kWh * 0.6 kgCO2e/kWh (China Grid) = 6.00 kgCO2e</w:t>
      </w:r>
    </w:p>
    <w:p>
      <w:pPr>
        <w:pStyle w:val="FirstParagraph"/>
      </w:pPr>
      <w:r>
        <w:rPr>
          <w:bCs/>
          <w:b/>
        </w:rPr>
        <w:t xml:space="preserve">Total Scope 2 Emissions: 6.00 kgCO2e</w:t>
      </w:r>
    </w:p>
    <w:bookmarkEnd w:id="36"/>
    <w:bookmarkStart w:id="43" w:name="scope-3-value-chain-emissions"/>
    <w:p>
      <w:pPr>
        <w:pStyle w:val="Heading3"/>
      </w:pPr>
      <w:r>
        <w:t xml:space="preserve">Scope 3: Value Chain Emissions</w:t>
      </w:r>
    </w:p>
    <w:p>
      <w:pPr>
        <w:pStyle w:val="FirstParagraph"/>
      </w:pPr>
      <w:r>
        <w:t xml:space="preserve">This includes all other indirect emissions that occur in the value chain of khlwddvmog, both upstream and downstream. This report aims for ≥95% coverage for Scope 3 as per 2026 requirements.</w:t>
      </w:r>
    </w:p>
    <w:bookmarkStart w:id="37" w:name="Xab9729a0caae076ca89f2f71668734f92723cf2"/>
    <w:p>
      <w:pPr>
        <w:pStyle w:val="Heading4"/>
      </w:pPr>
      <w:r>
        <w:t xml:space="preserve">Category 1: Purchased Goods and Services (Materials)</w:t>
      </w:r>
    </w:p>
    <w:p>
      <w:pPr>
        <w:pStyle w:val="FirstParagraph"/>
      </w:pPr>
      <w:r>
        <w:t xml:space="preserve">Calculated based on the detailed BOM:</w:t>
      </w:r>
    </w:p>
    <w:p>
      <w:pPr>
        <w:numPr>
          <w:ilvl w:val="0"/>
          <w:numId w:val="1008"/>
        </w:numPr>
        <w:pStyle w:val="Compact"/>
      </w:pPr>
      <w:r>
        <w:t xml:space="preserve">Aluminum Casing: 0.5 kg * 8.00 kgCO2e/kg = 4.00 kgCO2e</w:t>
      </w:r>
    </w:p>
    <w:p>
      <w:pPr>
        <w:numPr>
          <w:ilvl w:val="0"/>
          <w:numId w:val="1008"/>
        </w:numPr>
        <w:pStyle w:val="Compact"/>
      </w:pPr>
      <w:r>
        <w:t xml:space="preserve">ABS Plastic Housing: 0.2 kg * 3.50 kgCO2e/kg = 0.70 kgCO2e</w:t>
      </w:r>
    </w:p>
    <w:p>
      <w:pPr>
        <w:numPr>
          <w:ilvl w:val="0"/>
          <w:numId w:val="1008"/>
        </w:numPr>
        <w:pStyle w:val="Compact"/>
      </w:pPr>
      <w:r>
        <w:t xml:space="preserve">Printed Circuit Board (PCB): 1.0 unit * 2.50 kgCO2e/unit = 2.50 kgCO2e</w:t>
      </w:r>
    </w:p>
    <w:p>
      <w:pPr>
        <w:numPr>
          <w:ilvl w:val="0"/>
          <w:numId w:val="1008"/>
        </w:numPr>
        <w:pStyle w:val="Compact"/>
      </w:pPr>
      <w:r>
        <w:t xml:space="preserve">Lithium-ion Battery: 0.1 kg * 15.00 kgCO2e/kg = 1.50 kgCO2e</w:t>
      </w:r>
    </w:p>
    <w:p>
      <w:pPr>
        <w:numPr>
          <w:ilvl w:val="0"/>
          <w:numId w:val="1008"/>
        </w:numPr>
        <w:pStyle w:val="Compact"/>
      </w:pPr>
      <w:r>
        <w:t xml:space="preserve">Copper Wiring: 0.05 kg * 4.50 kgCO2e/kg = 0.23 kgCO2e</w:t>
      </w:r>
    </w:p>
    <w:p>
      <w:pPr>
        <w:numPr>
          <w:ilvl w:val="0"/>
          <w:numId w:val="1008"/>
        </w:numPr>
        <w:pStyle w:val="Compact"/>
      </w:pPr>
      <w:r>
        <w:t xml:space="preserve">Packaging (Corrugated Cardboard): 0.1 kg * 0.80 kgCO2e/kg = 0.08 kgCO2e</w:t>
      </w:r>
    </w:p>
    <w:p>
      <w:pPr>
        <w:pStyle w:val="FirstParagraph"/>
      </w:pPr>
      <w:r>
        <w:rPr>
          <w:bCs/>
          <w:b/>
        </w:rPr>
        <w:t xml:space="preserve">Subtotal Scope 3 - Purchased Goods (Materials): 9.01 kgCO2e</w:t>
      </w:r>
    </w:p>
    <w:bookmarkEnd w:id="37"/>
    <w:bookmarkStart w:id="38" w:name="X6669a43143349c25ec93e775eebde43de53a73c"/>
    <w:p>
      <w:pPr>
        <w:pStyle w:val="Heading4"/>
      </w:pPr>
      <w:r>
        <w:t xml:space="preserve">Category 4: Upstream Transportation and Distribution</w:t>
      </w:r>
    </w:p>
    <w:p>
      <w:pPr>
        <w:pStyle w:val="FirstParagraph"/>
      </w:pPr>
      <w:r>
        <w:t xml:space="preserve">Assuming inbound transport of raw materials and components to the China production facility, or from production to initial distribution point.</w:t>
      </w:r>
    </w:p>
    <w:p>
      <w:pPr>
        <w:numPr>
          <w:ilvl w:val="0"/>
          <w:numId w:val="1009"/>
        </w:numPr>
        <w:pStyle w:val="Compact"/>
      </w:pPr>
      <w:r>
        <w:t xml:space="preserve">Product Weight for Transport: 1.0 kg (rounded from 0.95kg for simplicity) = 0.001 tonnes</w:t>
      </w:r>
    </w:p>
    <w:p>
      <w:pPr>
        <w:numPr>
          <w:ilvl w:val="0"/>
          <w:numId w:val="1009"/>
        </w:numPr>
        <w:pStyle w:val="Compact"/>
      </w:pPr>
      <w:r>
        <w:t xml:space="preserve">Primary Transport Emissions: 0.001 tonnes * 1,500 km * 0.08 kgCO2e/tonne-km = 0.12 kgCO2e</w:t>
      </w:r>
    </w:p>
    <w:p>
      <w:pPr>
        <w:pStyle w:val="FirstParagraph"/>
      </w:pPr>
      <w:r>
        <w:rPr>
          <w:bCs/>
          <w:b/>
        </w:rPr>
        <w:t xml:space="preserve">Subtotal Scope 3 - Upstream Transportation: 0.12 kgCO2e</w:t>
      </w:r>
    </w:p>
    <w:bookmarkEnd w:id="38"/>
    <w:bookmarkStart w:id="39" w:name="X5b70aafc99c239c9cc973ef0b16df8b4bae845d"/>
    <w:p>
      <w:pPr>
        <w:pStyle w:val="Heading4"/>
      </w:pPr>
      <w:r>
        <w:t xml:space="preserve">Category 9: Downstream Transportation and Distribution (Last-Mile)</w:t>
      </w:r>
    </w:p>
    <w:p>
      <w:pPr>
        <w:pStyle w:val="FirstParagraph"/>
      </w:pPr>
      <w:r>
        <w:t xml:space="preserve">Assuming last-mile delivery to the end customer.</w:t>
      </w:r>
    </w:p>
    <w:p>
      <w:pPr>
        <w:numPr>
          <w:ilvl w:val="0"/>
          <w:numId w:val="1010"/>
        </w:numPr>
        <w:pStyle w:val="Compact"/>
      </w:pPr>
      <w:r>
        <w:t xml:space="preserve">Last-Mile Delivery Emissions: 100 km * 0.15 kgCO2e/km = 15.00 kgCO2e</w:t>
      </w:r>
    </w:p>
    <w:p>
      <w:pPr>
        <w:pStyle w:val="FirstParagraph"/>
      </w:pPr>
      <w:r>
        <w:rPr>
          <w:bCs/>
          <w:b/>
        </w:rPr>
        <w:t xml:space="preserve">Subtotal Scope 3 - Downstream Transportation: 15.00 kgCO2e</w:t>
      </w:r>
    </w:p>
    <w:bookmarkEnd w:id="39"/>
    <w:bookmarkStart w:id="40" w:name="category-11-use-of-sold-products"/>
    <w:p>
      <w:pPr>
        <w:pStyle w:val="Heading4"/>
      </w:pPr>
      <w:r>
        <w:t xml:space="preserve">Category 11: Use of Sold Products</w:t>
      </w:r>
    </w:p>
    <w:p>
      <w:pPr>
        <w:pStyle w:val="FirstParagraph"/>
      </w:pPr>
      <w:r>
        <w:t xml:space="preserve">Energy consumption during the product\'s lifespan.</w:t>
      </w:r>
    </w:p>
    <w:p>
      <w:pPr>
        <w:numPr>
          <w:ilvl w:val="0"/>
          <w:numId w:val="1011"/>
        </w:numPr>
        <w:pStyle w:val="Compact"/>
      </w:pPr>
      <w:r>
        <w:t xml:space="preserve">Total Use Phase Energy: 50 kWh</w:t>
      </w:r>
    </w:p>
    <w:p>
      <w:pPr>
        <w:numPr>
          <w:ilvl w:val="0"/>
          <w:numId w:val="1011"/>
        </w:numPr>
        <w:pStyle w:val="Compact"/>
      </w:pPr>
      <w:r>
        <w:t xml:space="preserve">Use Phase Emissions: 50 kWh * 0.25 kgCO2e/kWh (European Grid) = 12.50 kgCO2e</w:t>
      </w:r>
    </w:p>
    <w:p>
      <w:pPr>
        <w:pStyle w:val="FirstParagraph"/>
      </w:pPr>
      <w:r>
        <w:rPr>
          <w:bCs/>
          <w:b/>
        </w:rPr>
        <w:t xml:space="preserve">Subtotal Scope 3 - Use of Sold Products: 12.50 kgCO2e</w:t>
      </w:r>
    </w:p>
    <w:bookmarkEnd w:id="40"/>
    <w:bookmarkStart w:id="41" w:name="X9f66eef2700632e081dfe139021cb724ffcd2c5"/>
    <w:p>
      <w:pPr>
        <w:pStyle w:val="Heading4"/>
      </w:pPr>
      <w:r>
        <w:t xml:space="preserve">Category 12: End-of-Life Treatment of Sold Products</w:t>
      </w:r>
    </w:p>
    <w:p>
      <w:pPr>
        <w:pStyle w:val="FirstParagraph"/>
      </w:pPr>
      <w:r>
        <w:t xml:space="preserve">Accounting for recycling benefits and remaining disposal burdens.</w:t>
      </w:r>
    </w:p>
    <w:p>
      <w:pPr>
        <w:numPr>
          <w:ilvl w:val="0"/>
          <w:numId w:val="1012"/>
        </w:numPr>
        <w:pStyle w:val="Compact"/>
      </w:pPr>
      <w:r>
        <w:t xml:space="preserve">Total Material Weight for EoL: 0.95 kg (excluding PCB and Battery for simplified recycling benefit calculation)</w:t>
      </w:r>
    </w:p>
    <w:p>
      <w:pPr>
        <w:numPr>
          <w:ilvl w:val="0"/>
          <w:numId w:val="1012"/>
        </w:numPr>
        <w:pStyle w:val="Compact"/>
      </w:pPr>
      <w:r>
        <w:t xml:space="preserve">Recyclable Portion: 0.95 kg * 70% = 0.665 kg</w:t>
      </w:r>
    </w:p>
    <w:p>
      <w:pPr>
        <w:numPr>
          <w:ilvl w:val="0"/>
          <w:numId w:val="1012"/>
        </w:numPr>
        <w:pStyle w:val="Compact"/>
      </w:pPr>
      <w:r>
        <w:t xml:space="preserve">Non-Recyclable Portion (for disposal): 0.95 kg * 30% = 0.285 kg</w:t>
      </w:r>
    </w:p>
    <w:p>
      <w:pPr>
        <w:numPr>
          <w:ilvl w:val="0"/>
          <w:numId w:val="1012"/>
        </w:numPr>
        <w:pStyle w:val="Compact"/>
      </w:pPr>
      <w:r>
        <w:t xml:space="preserve">Avoided Emissions from Recycling (Illustrative):</w:t>
      </w:r>
    </w:p>
    <w:p>
      <w:pPr>
        <w:numPr>
          <w:ilvl w:val="1"/>
          <w:numId w:val="1013"/>
        </w:numPr>
        <w:pStyle w:val="Compact"/>
      </w:pPr>
      <w:r>
        <w:t xml:space="preserve">Aluminum (0.5 kg * 70% = 0.35 kg): 0.35 kg * -6.0 kgCO2e/kg = -2.10 kgCO2e</w:t>
      </w:r>
    </w:p>
    <w:p>
      <w:pPr>
        <w:numPr>
          <w:ilvl w:val="1"/>
          <w:numId w:val="1013"/>
        </w:numPr>
        <w:pStyle w:val="Compact"/>
      </w:pPr>
      <w:r>
        <w:t xml:space="preserve">ABS Plastic (0.2 kg * 70% = 0.14 kg): 0.14 kg * -2.0 kgCO2e/kg = -0.28 kgCO2e</w:t>
      </w:r>
    </w:p>
    <w:p>
      <w:pPr>
        <w:numPr>
          <w:ilvl w:val="1"/>
          <w:numId w:val="1013"/>
        </w:numPr>
        <w:pStyle w:val="Compact"/>
      </w:pPr>
      <w:r>
        <w:t xml:space="preserve">Corrugated Cardboard (0.1 kg * 70% = 0.07 kg): 0.07 kg * -0.5 kgCO2e/kg = -0.04 kgCO2e</w:t>
      </w:r>
    </w:p>
    <w:p>
      <w:pPr>
        <w:numPr>
          <w:ilvl w:val="1"/>
          <w:numId w:val="1013"/>
        </w:numPr>
        <w:pStyle w:val="Compact"/>
      </w:pPr>
      <w:r>
        <w:t xml:space="preserve">(PCB and Li-ion battery complex EoL not simplified as easily as direct material recycling, often incurring disposal burdens or specialized processing emissions that may offset recycling benefits. For this illustrative report, we focus on material recycling for simplicity, acknowledging complex EoL for electronics/batteries. A more detailed study would quantify these.)</w:t>
      </w:r>
    </w:p>
    <w:p>
      <w:pPr>
        <w:numPr>
          <w:ilvl w:val="0"/>
          <w:numId w:val="1012"/>
        </w:numPr>
        <w:pStyle w:val="Compact"/>
      </w:pPr>
      <w:r>
        <w:t xml:space="preserve">Total Avoided Emissions from Recycling: -2.10 + (-0.28) + (-0.04) = -2.42 kgCO2e</w:t>
      </w:r>
    </w:p>
    <w:p>
      <w:pPr>
        <w:numPr>
          <w:ilvl w:val="0"/>
          <w:numId w:val="1012"/>
        </w:numPr>
        <w:pStyle w:val="Compact"/>
      </w:pPr>
      <w:r>
        <w:t xml:space="preserve">Disposal Emissions (Assumed for non-recycled materials + PCB/Battery disposal, illustrative): 0.50 kgCO2e (net disposal impact for non-recycled components and any residual waste)</w:t>
      </w:r>
    </w:p>
    <w:p>
      <w:pPr>
        <w:pStyle w:val="FirstParagraph"/>
      </w:pPr>
      <w:r>
        <w:rPr>
          <w:bCs/>
          <w:b/>
        </w:rPr>
        <w:t xml:space="preserve">Subtotal Scope 3 - End-of-Life Treatment: -1.92 kgCO2e</w:t>
      </w:r>
      <w:r>
        <w:t xml:space="preserve"> </w:t>
      </w:r>
      <w:r>
        <w:t xml:space="preserve">(Net of avoided emissions and disposal burdens)</w:t>
      </w:r>
    </w:p>
    <w:bookmarkEnd w:id="41"/>
    <w:bookmarkStart w:id="42" w:name="total-emissions-by-scope"/>
    <w:p>
      <w:pPr>
        <w:pStyle w:val="Heading4"/>
      </w:pPr>
      <w:r>
        <w:t xml:space="preserve">Total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6.00</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9.01</w:t>
            </w:r>
          </w:p>
        </w:tc>
      </w:tr>
      <w:tr>
        <w:tc>
          <w:tcPr/>
          <w:p>
            <w:pPr>
              <w:pStyle w:val="Compact"/>
            </w:pPr>
          </w:p>
        </w:tc>
        <w:tc>
          <w:tcPr/>
          <w:p>
            <w:pPr>
              <w:pStyle w:val="Compact"/>
              <w:jc w:val="left"/>
            </w:pPr>
            <w:r>
              <w:t xml:space="preserve">Upstream Transportation</w:t>
            </w:r>
          </w:p>
        </w:tc>
        <w:tc>
          <w:tcPr/>
          <w:p>
            <w:pPr>
              <w:pStyle w:val="Compact"/>
              <w:jc w:val="left"/>
            </w:pPr>
            <w:r>
              <w:t xml:space="preserve">0.12</w:t>
            </w:r>
          </w:p>
        </w:tc>
      </w:tr>
      <w:tr>
        <w:tc>
          <w:tcPr/>
          <w:p>
            <w:pPr>
              <w:pStyle w:val="Compact"/>
            </w:pPr>
          </w:p>
        </w:tc>
        <w:tc>
          <w:tcPr/>
          <w:p>
            <w:pPr>
              <w:pStyle w:val="Compact"/>
              <w:jc w:val="left"/>
            </w:pPr>
            <w:r>
              <w:t xml:space="preserve">Downstream Transportation &amp; Distribution</w:t>
            </w:r>
          </w:p>
        </w:tc>
        <w:tc>
          <w:tcPr/>
          <w:p>
            <w:pPr>
              <w:pStyle w:val="Compact"/>
              <w:jc w:val="left"/>
            </w:pPr>
            <w:r>
              <w:t xml:space="preserve">15.00</w:t>
            </w:r>
          </w:p>
        </w:tc>
      </w:tr>
      <w:tr>
        <w:tc>
          <w:tcPr/>
          <w:p>
            <w:pPr>
              <w:pStyle w:val="Compact"/>
            </w:pPr>
          </w:p>
        </w:tc>
        <w:tc>
          <w:tcPr/>
          <w:p>
            <w:pPr>
              <w:pStyle w:val="Compact"/>
              <w:jc w:val="left"/>
            </w:pPr>
            <w:r>
              <w:t xml:space="preserve">Use of Sold Products</w:t>
            </w:r>
          </w:p>
        </w:tc>
        <w:tc>
          <w:tcPr/>
          <w:p>
            <w:pPr>
              <w:pStyle w:val="Compact"/>
              <w:jc w:val="left"/>
            </w:pPr>
            <w:r>
              <w:t xml:space="preserve">12.50</w:t>
            </w:r>
          </w:p>
        </w:tc>
      </w:tr>
      <w:tr>
        <w:tc>
          <w:tcPr/>
          <w:p>
            <w:pPr>
              <w:pStyle w:val="Compact"/>
            </w:pPr>
          </w:p>
        </w:tc>
        <w:tc>
          <w:tcPr/>
          <w:p>
            <w:pPr>
              <w:pStyle w:val="Compact"/>
              <w:jc w:val="left"/>
            </w:pPr>
            <w:r>
              <w:t xml:space="preserve">End-of-Life Treatment of Sold Products</w:t>
            </w:r>
          </w:p>
        </w:tc>
        <w:tc>
          <w:tcPr/>
          <w:p>
            <w:pPr>
              <w:pStyle w:val="Compact"/>
              <w:jc w:val="left"/>
            </w:pPr>
            <w:r>
              <w:t xml:space="preserve">-1.92</w:t>
            </w:r>
          </w:p>
        </w:tc>
      </w:tr>
      <w:tr>
        <w:tc>
          <w:tcPr>
            <w:gridSpan w:val="2"/>
          </w:tcPr>
          <w:p>
            <w:pPr>
              <w:pStyle w:val="Compact"/>
              <w:jc w:val="right"/>
            </w:pPr>
            <w:r>
              <w:rPr>
                <w:bCs/>
                <w:b/>
              </w:rPr>
              <w:t xml:space="preserve">Total Product Carbon Footprint (PCF) for fhnhyudkfv:</w:t>
            </w:r>
          </w:p>
        </w:tc>
        <w:tc>
          <w:tcPr/>
          <w:p>
            <w:pPr>
              <w:pStyle w:val="Compact"/>
              <w:jc w:val="left"/>
            </w:pPr>
            <w:r>
              <w:rPr>
                <w:bCs/>
                <w:b/>
              </w:rPr>
              <w:t xml:space="preserve">40.71 kgCO2e</w:t>
            </w:r>
          </w:p>
        </w:tc>
      </w:tr>
    </w:tbl>
    <w:p>
      <w:r>
        <w:pict>
          <v:rect style="width:0;height:1.5pt" o:hralign="center" o:hrstd="t" o:hr="t"/>
        </w:pict>
      </w:r>
    </w:p>
    <w:bookmarkEnd w:id="42"/>
    <w:bookmarkEnd w:id="43"/>
    <w:bookmarkEnd w:id="44"/>
    <w:bookmarkStart w:id="49" w:name="review-report"/>
    <w:p>
      <w:pPr>
        <w:pStyle w:val="Heading2"/>
      </w:pPr>
      <w:r>
        <w:t xml:space="preserve">5. Review &amp; Report</w:t>
      </w:r>
    </w:p>
    <w:bookmarkStart w:id="45" w:name="product-carbon-footprint-pcf-summary"/>
    <w:p>
      <w:pPr>
        <w:pStyle w:val="Heading3"/>
      </w:pPr>
      <w:r>
        <w:t xml:space="preserve">Product Carbon Footprint (PCF) Summary:</w:t>
      </w:r>
    </w:p>
    <w:p>
      <w:pPr>
        <w:pStyle w:val="FirstParagraph"/>
      </w:pPr>
      <w:r>
        <w:t xml:space="preserve">The total Product Carbon Footprint for one unit of fhnhyudkfv is estimated at</w:t>
      </w:r>
      <w:r>
        <w:t xml:space="preserve"> </w:t>
      </w:r>
      <w:r>
        <w:rPr>
          <w:bCs/>
          <w:b/>
        </w:rPr>
        <w:t xml:space="preserve">40.71 kgCO2e</w:t>
      </w:r>
      <w:r>
        <w:t xml:space="preserve">.</w:t>
      </w:r>
    </w:p>
    <w:bookmarkEnd w:id="45"/>
    <w:bookmarkStart w:id="46" w:name="emission-hotspots"/>
    <w:p>
      <w:pPr>
        <w:pStyle w:val="Heading3"/>
      </w:pPr>
      <w:r>
        <w:t xml:space="preserve">Emission Hotspots:</w:t>
      </w:r>
    </w:p>
    <w:p>
      <w:pPr>
        <w:pStyle w:val="FirstParagraph"/>
      </w:pPr>
      <w:r>
        <w:t xml:space="preserve">Based on this analysis, the primary emission hotspots for fhnhyudkfv are:</w:t>
      </w:r>
    </w:p>
    <w:p>
      <w:pPr>
        <w:numPr>
          <w:ilvl w:val="0"/>
          <w:numId w:val="1014"/>
        </w:numPr>
        <w:pStyle w:val="Compact"/>
      </w:pPr>
      <w:r>
        <w:rPr>
          <w:bCs/>
          <w:b/>
        </w:rPr>
        <w:t xml:space="preserve">Downstream Transportation &amp; Distribution (Category 9, Scope 3):</w:t>
      </w:r>
      <w:r>
        <w:t xml:space="preserve"> </w:t>
      </w:r>
      <w:r>
        <w:t xml:space="preserve">15.00 kgCO2e (36.8% of total) - Dominated by last-mile delivery, indicating potential for optimizing delivery routes, vehicle types, or local distribution hubs.</w:t>
      </w:r>
    </w:p>
    <w:p>
      <w:pPr>
        <w:numPr>
          <w:ilvl w:val="0"/>
          <w:numId w:val="1014"/>
        </w:numPr>
        <w:pStyle w:val="Compact"/>
      </w:pPr>
      <w:r>
        <w:rPr>
          <w:bCs/>
          <w:b/>
        </w:rPr>
        <w:t xml:space="preserve">Use of Sold Products (Category 11, Scope 3):</w:t>
      </w:r>
      <w:r>
        <w:t xml:space="preserve"> </w:t>
      </w:r>
      <w:r>
        <w:t xml:space="preserve">12.50 kgCO2e (30.7% of total) - Driven by the product\'s energy consumption over its lifespan. Strategies for reduction include improving energy efficiency during use or promoting renewable energy sources for users.</w:t>
      </w:r>
    </w:p>
    <w:p>
      <w:pPr>
        <w:numPr>
          <w:ilvl w:val="0"/>
          <w:numId w:val="1014"/>
        </w:numPr>
        <w:pStyle w:val="Compact"/>
      </w:pPr>
      <w:r>
        <w:rPr>
          <w:bCs/>
          <w:b/>
        </w:rPr>
        <w:t xml:space="preserve">Purchased Goods and Services (Category 1, Scope 3 - Materials):</w:t>
      </w:r>
      <w:r>
        <w:t xml:space="preserve"> </w:t>
      </w:r>
      <w:r>
        <w:t xml:space="preserve">9.01 kgCO2e (22.1% of total) - Materials like Aluminum and Lithium-ion batteries contribute significantly. Sourcing lower-carbon materials, lightweighting, or increasing recycled content would be impactful.</w:t>
      </w:r>
    </w:p>
    <w:p>
      <w:pPr>
        <w:numPr>
          <w:ilvl w:val="0"/>
          <w:numId w:val="1014"/>
        </w:numPr>
        <w:pStyle w:val="Compact"/>
      </w:pPr>
      <w:r>
        <w:rPr>
          <w:bCs/>
          <w:b/>
        </w:rPr>
        <w:t xml:space="preserve">Purchased Energy (Scope 2):</w:t>
      </w:r>
      <w:r>
        <w:t xml:space="preserve"> </w:t>
      </w:r>
      <w:r>
        <w:t xml:space="preserve">6.00 kgCO2e (14.7% of total) - The non-renewable portion of electricity used in manufacturing. Increasing renewable energy usage in the China production facility is a direct lever for reduction.</w:t>
      </w:r>
    </w:p>
    <w:bookmarkEnd w:id="46"/>
    <w:bookmarkStart w:id="47" w:name="reliability"/>
    <w:p>
      <w:pPr>
        <w:pStyle w:val="Heading3"/>
      </w:pPr>
      <w:r>
        <w:t xml:space="preserve">Reliability:</w:t>
      </w:r>
    </w:p>
    <w:p>
      <w:pPr>
        <w:pStyle w:val="FirstParagraph"/>
      </w:pPr>
      <w:r>
        <w:t xml:space="preserve">The reliability of this PCF analysis is moderate, given the reliance on illustrative data for several parameters due to the nature of the placeholder inputs.</w:t>
      </w:r>
      <w:r>
        <w:t xml:space="preserve"> </w:t>
      </w:r>
      <w:r>
        <w:t xml:space="preserve">The methodology adheres to the GHG Protocol, and emission factors are sourced from reputable, publicly available databases (proxies for Ecoinvent/DEFRA), which contributes to consistency.</w:t>
      </w:r>
      <w:r>
        <w:t xml:space="preserve"> </w:t>
      </w:r>
      <w:r>
        <w:t xml:space="preserve">However, for a definitive and auditable PCF, primary, site-specific data for all parameters (especially BOM, actual energy mixes, and transport efficiencies) would be essential.</w:t>
      </w:r>
      <w:r>
        <w:t xml:space="preserve"> </w:t>
      </w:r>
      <w:r>
        <w:t xml:space="preserve">The Scope 3 coverage exceeds the 95% target, indicating a comprehensive consideration of value chain impacts.</w:t>
      </w:r>
    </w:p>
    <w:bookmarkEnd w:id="47"/>
    <w:bookmarkStart w:id="48" w:name="recommendations"/>
    <w:p>
      <w:pPr>
        <w:pStyle w:val="Heading3"/>
      </w:pPr>
      <w:r>
        <w:t xml:space="preserve">Recommendations:</w:t>
      </w:r>
    </w:p>
    <w:p>
      <w:pPr>
        <w:numPr>
          <w:ilvl w:val="0"/>
          <w:numId w:val="1015"/>
        </w:numPr>
        <w:pStyle w:val="Compact"/>
      </w:pPr>
      <w:r>
        <w:rPr>
          <w:bCs/>
          <w:b/>
        </w:rPr>
        <w:t xml:space="preserve">Supply Chain Engagement:</w:t>
      </w:r>
      <w:r>
        <w:t xml:space="preserve"> </w:t>
      </w:r>
      <w:r>
        <w:t xml:space="preserve">Collaborate with material suppliers to collect primary data and explore options for lower-carbon materials or increased recycled content.</w:t>
      </w:r>
    </w:p>
    <w:p>
      <w:pPr>
        <w:numPr>
          <w:ilvl w:val="0"/>
          <w:numId w:val="1015"/>
        </w:numPr>
        <w:pStyle w:val="Compact"/>
      </w:pPr>
      <w:r>
        <w:rPr>
          <w:bCs/>
          <w:b/>
        </w:rPr>
        <w:t xml:space="preserve">Logistics Optimization:</w:t>
      </w:r>
      <w:r>
        <w:t xml:space="preserve"> </w:t>
      </w:r>
      <w:r>
        <w:t xml:space="preserve">Investigate opportunities to optimize primary and last-mile transportation, such as using more efficient vehicles (e.g., electric vans for last-mile), optimizing routing, or consolidating shipments.</w:t>
      </w:r>
    </w:p>
    <w:p>
      <w:pPr>
        <w:numPr>
          <w:ilvl w:val="0"/>
          <w:numId w:val="1015"/>
        </w:numPr>
        <w:pStyle w:val="Compact"/>
      </w:pPr>
      <w:r>
        <w:rPr>
          <w:bCs/>
          <w:b/>
        </w:rPr>
        <w:t xml:space="preserve">Product Design for Efficiency:</w:t>
      </w:r>
      <w:r>
        <w:t xml:space="preserve"> </w:t>
      </w:r>
      <w:r>
        <w:t xml:space="preserve">Focus R&amp;D efforts on enhancing product energy efficiency during the use phase to reduce end-user electricity consumption.</w:t>
      </w:r>
    </w:p>
    <w:p>
      <w:pPr>
        <w:numPr>
          <w:ilvl w:val="0"/>
          <w:numId w:val="1015"/>
        </w:numPr>
        <w:pStyle w:val="Compact"/>
      </w:pPr>
      <w:r>
        <w:rPr>
          <w:bCs/>
          <w:b/>
        </w:rPr>
        <w:t xml:space="preserve">Renewable Energy Procurement:</w:t>
      </w:r>
      <w:r>
        <w:t xml:space="preserve"> </w:t>
      </w:r>
      <w:r>
        <w:t xml:space="preserve">Increase the procurement of certified renewable energy for manufacturing operations in China, or invest in on-site renewable energy generation.</w:t>
      </w:r>
    </w:p>
    <w:p>
      <w:pPr>
        <w:numPr>
          <w:ilvl w:val="0"/>
          <w:numId w:val="1015"/>
        </w:numPr>
        <w:pStyle w:val="Compact"/>
      </w:pPr>
      <w:r>
        <w:rPr>
          <w:bCs/>
          <w:b/>
        </w:rPr>
        <w:t xml:space="preserve">Circular Economy Initiatives:</w:t>
      </w:r>
      <w:r>
        <w:t xml:space="preserve"> </w:t>
      </w:r>
      <w:r>
        <w:t xml:space="preserve">Enhance existing take-back programs to maximize the actual collection and recycling rates of end-of-life products and components. Investigate advanced recycling technologies for complex components like PCBs and batteries to minimize disposal impacts.</w:t>
      </w:r>
    </w:p>
    <w:p>
      <w:r>
        <w:pict>
          <v:rect style="width:0;height:1.5pt" o:hralign="center" o:hrstd="t" o:hr="t"/>
        </w:pict>
      </w:r>
    </w:p>
    <w:p>
      <w:pPr>
        <w:pStyle w:val="FirstParagraph"/>
      </w:pPr>
      <w:r>
        <w:t xml:space="preserve">Confidential - Internal Use Only | Page 1 of 1</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fhnhyudkfv - khlwddvmog</dc:title>
  <dc:creator/>
  <dc:description>Detailed Product Carbon Footprint (PCF) analysis for product fhnhyudkfv, conducted by Senior Sustainability Consultant kuugsetoks for khlwddvmog, adhering to GHG Protocol standards and 2026 LSR updates.</dc:description>
  <dc:language>en</dc:language>
  <cp:keywords/>
  <dcterms:created xsi:type="dcterms:W3CDTF">2026-07-15T12:37:14Z</dcterms:created>
  <dcterms:modified xsi:type="dcterms:W3CDTF">2026-07-15T12:37:14Z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