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fhkhkzuuhl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fhkhkzuuhl</w:t>
      </w:r>
    </w:p>
    <w:p>
      <w:pPr>
        <w:pStyle w:val="BodyText"/>
      </w:pPr>
      <w:r>
        <w:rPr>
          <w:bCs/>
          <w:b/>
        </w:rPr>
        <w:t xml:space="preserve">Company Name:</w:t>
      </w:r>
      <w:r>
        <w:t xml:space="preserve"> </w:t>
      </w:r>
      <w:r>
        <w:t xml:space="preserve">kwxjnkiuez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uvkuhkyxzk</w:t>
      </w:r>
    </w:p>
    <w:p>
      <w:pPr>
        <w:pStyle w:val="BodyText"/>
      </w:pPr>
      <w:r>
        <w:t xml:space="preserve">Disclaimer: This report is generated based on available data and industry standards. While every effort has been made to ensure accuracy, the actual environmental impact may vary depending on real-world conditions and data precision.</w:t>
      </w:r>
    </w:p>
    <w:bookmarkEnd w:id="20"/>
    <w:bookmarkStart w:id="45" w:name="X0b58ffe2b5d72fd5f72dde3640dc765c8a446c6"/>
    <w:p>
      <w:pPr>
        <w:pStyle w:val="Heading1"/>
      </w:pPr>
      <w:r>
        <w:t xml:space="preserve">Product Carbon Footprint Analysis for fhkhkzuuhl</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\'fhkhkzuuhl\', manufactured by \'kwxjnkiuez\', conducted by Senior Sustainability Consultant uvkuhkyxzk. The analysis adheres strictly to the GHG Protocol, including the 2026 Land Sector and Removals (LSR) Standard update and aims for at least 95% Scope 3 coverage. It maps emissions across the product\'s lifecycle, from raw material extraction and production to the use phase and end-of-life, providing a comprehensive assessment of its environmental impact in terms of CO2 equivalent (CO2e) emissions. Key hotspots are identified to guide reduction strategies and promote circular economy initiatives.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guiding the PCF analysis for \'fhkhkzuuhl\'.</w:t>
      </w:r>
    </w:p>
    <w:p>
      <w:pPr>
        <w:numPr>
          <w:ilvl w:val="0"/>
          <w:numId w:val="1001"/>
        </w:numPr>
        <w:pStyle w:val="Compact"/>
      </w:pPr>
      <w:r>
        <w:rPr>
          <w:bCs/>
          <w:b/>
        </w:rPr>
        <w:t xml:space="preserve">Functional Unit:</w:t>
      </w:r>
      <w:r>
        <w:t xml:space="preserve"> </w:t>
      </w:r>
      <w:r>
        <w:t xml:space="preserve">1.0 unit of fhkhkzuuhl.</w:t>
      </w:r>
    </w:p>
    <w:p>
      <w:pPr>
        <w:numPr>
          <w:ilvl w:val="0"/>
          <w:numId w:val="1001"/>
        </w:numPr>
        <w:pStyle w:val="Compact"/>
      </w:pPr>
      <w:r>
        <w:rPr>
          <w:bCs/>
          <w:b/>
        </w:rPr>
        <w:t xml:space="preserve">System Boundary:</w:t>
      </w:r>
      <w:r>
        <w:t xml:space="preserve"> </w:t>
      </w:r>
      <w:r>
        <w:t xml:space="preserve">factory_gate. This boundary includes all upstream processes up to the point where the finished product leaves the factory gate, encompassing raw material extraction, processing, and manufacturing, as well as transport to the factory. Downstream stages such as product distribution, use, and end-of-life are also evaluated as part of Scope 3.</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manufacturing emissions are calculated based on Chinese energy grids, while some supply chain components and the use-phase may reflect European conditions.</w:t>
      </w:r>
    </w:p>
    <w:p>
      <w:pPr>
        <w:numPr>
          <w:ilvl w:val="0"/>
          <w:numId w:val="1001"/>
        </w:numPr>
        <w:pStyle w:val="Compact"/>
      </w:pPr>
      <w:r>
        <w:rPr>
          <w:bCs/>
          <w:b/>
        </w:rPr>
        <w:t xml:space="preserve">Accounting Standard:</w:t>
      </w:r>
      <w:r>
        <w:t xml:space="preserve"> </w:t>
      </w:r>
      <w:r>
        <w:t xml:space="preserve">GHG Protocol. The analysis is aligned with the Greenhouse Gas Protocol\'s Product Life Cycle Accounting and Reporting Standard.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Emissions are allocated directly to the functional unit of \'fhkhkzuuhl\'. Where shared processes occur (e.g., transport vehicles carrying multiple goods), emissions are allocated based on mass-based principles.</w:t>
      </w:r>
    </w:p>
    <w:p>
      <w:r>
        <w:pict>
          <v:rect style="width:0;height:1.5pt" o:hralign="center" o:hrstd="t" o:hr="t"/>
        </w:pict>
      </w:r>
    </w:p>
    <w:bookmarkEnd w:id="22"/>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The lifecycle of \'fhkhkzuuhl\' is mapped across several stages to capture all relevant emissions. Data collection integrates primary data (specific to kwxjnkiuez where provided) and secondary data (industry-average emission factors).</w:t>
      </w:r>
    </w:p>
    <w:bookmarkStart w:id="23" w:name="Xd65954fe2a056e4dedf6d5bd5a14fdc50d6660d"/>
    <w:p>
      <w:pPr>
        <w:pStyle w:val="Heading3"/>
      </w:pPr>
      <w:r>
        <w:t xml:space="preserve">Detailed Bill of Materials (BOM) Analysis (pnyoqpmv)</w:t>
      </w:r>
    </w:p>
    <w:p>
      <w:pPr>
        <w:pStyle w:val="FirstParagraph"/>
      </w:pPr>
      <w:r>
        <w:t xml:space="preserve">The following Bill of Materials (BOM) data, provided as \'pnyoqpmv\', is used for high-accuracy material impact calculation. The \'Total Carbon\' values represent the upstream emissions (material extraction, processing, and manufacturing up to the point of delivery to kwxjnkiuez\'s factory gate) for each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1.8</w:t>
            </w:r>
          </w:p>
        </w:tc>
        <w:tc>
          <w:tcPr/>
          <w:p>
            <w:pPr>
              <w:pStyle w:val="Compact"/>
              <w:jc w:val="left"/>
            </w:pPr>
            <w:r>
              <w:t xml:space="preserve">1.80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5</w:t>
            </w:r>
          </w:p>
        </w:tc>
        <w:tc>
          <w:tcPr/>
          <w:p>
            <w:pPr>
              <w:pStyle w:val="Compact"/>
              <w:jc w:val="left"/>
            </w:pPr>
            <w:r>
              <w:t xml:space="preserve">Display Panel</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6.0</w:t>
            </w:r>
          </w:p>
        </w:tc>
        <w:tc>
          <w:tcPr/>
          <w:p>
            <w:pPr>
              <w:pStyle w:val="Compact"/>
              <w:jc w:val="left"/>
            </w:pPr>
            <w:r>
              <w:t xml:space="preserve">1.80</w:t>
            </w:r>
          </w:p>
        </w:tc>
      </w:tr>
      <w:tr>
        <w:tc>
          <w:tcPr/>
          <w:p>
            <w:pPr>
              <w:pStyle w:val="Compact"/>
              <w:jc w:val="left"/>
            </w:pPr>
            <w:r>
              <w:t xml:space="preserve">6</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bl>
    <w:bookmarkEnd w:id="23"/>
    <w:bookmarkStart w:id="24"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yrjdfutotj kWh/unit.</w:t>
      </w:r>
    </w:p>
    <w:p>
      <w:pPr>
        <w:numPr>
          <w:ilvl w:val="0"/>
          <w:numId w:val="1002"/>
        </w:numPr>
        <w:pStyle w:val="Compact"/>
      </w:pPr>
      <w:r>
        <w:rPr>
          <w:bCs/>
          <w:b/>
        </w:rPr>
        <w:t xml:space="preserve">Renewable Energy Usage:</w:t>
      </w:r>
      <w:r>
        <w:t xml:space="preserve"> </w:t>
      </w:r>
      <w:r>
        <w:t xml:space="preserve">fildfzkxku%. This percentage of renewable energy directly reduces the reliance on grid electricity for the production of \'fhkhkzuuhl\'.</w:t>
      </w:r>
    </w:p>
    <w:p>
      <w:pPr>
        <w:numPr>
          <w:ilvl w:val="0"/>
          <w:numId w:val="1002"/>
        </w:numPr>
        <w:pStyle w:val="Compact"/>
      </w:pPr>
      <w:r>
        <w:rPr>
          <w:bCs/>
          <w:b/>
        </w:rPr>
        <w:t xml:space="preserve">Location-based Grid Electricity Emission Factor (China):</w:t>
      </w:r>
      <w:r>
        <w:t xml:space="preserve"> </w:t>
      </w:r>
      <w:r>
        <w:t xml:space="preserve">0.6205 kg CO2e/kWh (2023 National Average).</w:t>
      </w:r>
    </w:p>
    <w:bookmarkEnd w:id="24"/>
    <w:bookmarkStart w:id="25" w:name="logistics-data-supply-chain"/>
    <w:p>
      <w:pPr>
        <w:pStyle w:val="Heading3"/>
      </w:pPr>
      <w:r>
        <w:t xml:space="preserve">Logistics Data (Supply Chain)</w:t>
      </w:r>
    </w:p>
    <w:p>
      <w:pPr>
        <w:pStyle w:val="FirstParagraph"/>
      </w:pPr>
      <w:r>
        <w:t xml:space="preserve">For transport calculations, a nominal product weight of 2 kg for \'fhkhkzuuhl\' is assumed, as specific weight was not provided. All transport distances are assumed to be \'fztfumoqim\' km for both inbound and outbound legs.</w:t>
      </w:r>
    </w:p>
    <w:p>
      <w:pPr>
        <w:numPr>
          <w:ilvl w:val="0"/>
          <w:numId w:val="1003"/>
        </w:numPr>
        <w:pStyle w:val="Compact"/>
      </w:pPr>
      <w:r>
        <w:rPr>
          <w:bCs/>
          <w:b/>
        </w:rPr>
        <w:t xml:space="preserve">Primary Transport Mode (Inbound to Factory):</w:t>
      </w:r>
      <w:r>
        <w:t xml:space="preserve"> </w:t>
      </w:r>
      <w:r>
        <w:t xml:space="preserve">Select Mode. Assumed to be Heavy Goods Vehicle (HGV) - average truck.</w:t>
      </w:r>
    </w:p>
    <w:p>
      <w:pPr>
        <w:numPr>
          <w:ilvl w:val="0"/>
          <w:numId w:val="1003"/>
        </w:numPr>
        <w:pStyle w:val="Compact"/>
      </w:pPr>
      <w:r>
        <w:rPr>
          <w:bCs/>
          <w:b/>
        </w:rPr>
        <w:t xml:space="preserve">Transport Distance (Inbound &amp; Outbound):</w:t>
      </w:r>
      <w:r>
        <w:t xml:space="preserve"> </w:t>
      </w:r>
      <w:r>
        <w:t xml:space="preserve">fztfumoqim km.</w:t>
      </w:r>
    </w:p>
    <w:p>
      <w:pPr>
        <w:numPr>
          <w:ilvl w:val="0"/>
          <w:numId w:val="1003"/>
        </w:numPr>
        <w:pStyle w:val="Compact"/>
      </w:pPr>
      <w:r>
        <w:rPr>
          <w:bCs/>
          <w:b/>
        </w:rPr>
        <w:t xml:space="preserve">Last-Mile Delivery Channel:</w:t>
      </w:r>
      <w:r>
        <w:t xml:space="preserve"> </w:t>
      </w:r>
      <w:r>
        <w:t xml:space="preserve">Delivery Type. Assumed to be Light Commercial Vehicle (LCV) - average van.</w:t>
      </w:r>
    </w:p>
    <w:p>
      <w:pPr>
        <w:numPr>
          <w:ilvl w:val="0"/>
          <w:numId w:val="1003"/>
        </w:numPr>
        <w:pStyle w:val="Compact"/>
      </w:pPr>
      <w:r>
        <w:rPr>
          <w:bCs/>
          <w:b/>
        </w:rPr>
        <w:t xml:space="preserve">HGV Emission Factor:</w:t>
      </w:r>
      <w:r>
        <w:t xml:space="preserve"> </w:t>
      </w:r>
      <w:r>
        <w:t xml:space="preserve">0.062 kg CO2e/tkm.</w:t>
      </w:r>
    </w:p>
    <w:p>
      <w:pPr>
        <w:numPr>
          <w:ilvl w:val="0"/>
          <w:numId w:val="1003"/>
        </w:numPr>
        <w:pStyle w:val="Compact"/>
      </w:pPr>
      <w:r>
        <w:rPr>
          <w:bCs/>
          <w:b/>
        </w:rPr>
        <w:t xml:space="preserve">LCV Emission Factor:</w:t>
      </w:r>
      <w:r>
        <w:t xml:space="preserve"> </w:t>
      </w:r>
      <w:r>
        <w:t xml:space="preserve">0.135 kg CO2e/tkm.</w:t>
      </w:r>
    </w:p>
    <w:bookmarkEnd w:id="25"/>
    <w:bookmarkStart w:id="26"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zfhvkfsomv years.</w:t>
      </w:r>
    </w:p>
    <w:p>
      <w:pPr>
        <w:numPr>
          <w:ilvl w:val="0"/>
          <w:numId w:val="1004"/>
        </w:numPr>
        <w:pStyle w:val="Compact"/>
      </w:pPr>
      <w:r>
        <w:rPr>
          <w:bCs/>
          <w:b/>
        </w:rPr>
        <w:t xml:space="preserve">Energy Consumption in Use:</w:t>
      </w:r>
      <w:r>
        <w:t xml:space="preserve"> </w:t>
      </w:r>
      <w:r>
        <w:t xml:space="preserve">jjrjsmiyxg kWh/year.</w:t>
      </w:r>
    </w:p>
    <w:p>
      <w:pPr>
        <w:numPr>
          <w:ilvl w:val="0"/>
          <w:numId w:val="1004"/>
        </w:numPr>
        <w:pStyle w:val="Compact"/>
      </w:pPr>
      <w:r>
        <w:rPr>
          <w:bCs/>
          <w:b/>
        </w:rPr>
        <w:t xml:space="preserve">European Grid Electricity Emission Factor (for Use Phase):</w:t>
      </w:r>
      <w:r>
        <w:t xml:space="preserve"> </w:t>
      </w:r>
      <w:r>
        <w:t xml:space="preserve">0.238 kg CO2e/kWh (2019 average, used as a proxy for Europe-focused supply chain).</w:t>
      </w:r>
    </w:p>
    <w:bookmarkEnd w:id="26"/>
    <w:bookmarkStart w:id="27"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wsdlupjovr%.</w:t>
      </w:r>
    </w:p>
    <w:p>
      <w:pPr>
        <w:numPr>
          <w:ilvl w:val="0"/>
          <w:numId w:val="1005"/>
        </w:numPr>
        <w:pStyle w:val="Compact"/>
      </w:pPr>
      <w:r>
        <w:rPr>
          <w:bCs/>
          <w:b/>
        </w:rPr>
        <w:t xml:space="preserve">Circular/Take-back Programs:</w:t>
      </w:r>
      <w:r>
        <w:t xml:space="preserve"> </w:t>
      </w:r>
      <w:r>
        <w:t xml:space="preserve">vhylnxjmzq. (Qualitatively acknowledged as "Yes, robust take-back program in EU").</w:t>
      </w:r>
    </w:p>
    <w:p>
      <w:pPr>
        <w:numPr>
          <w:ilvl w:val="0"/>
          <w:numId w:val="1005"/>
        </w:numPr>
        <w:pStyle w:val="Compact"/>
      </w:pPr>
      <w:r>
        <w:rPr>
          <w:bCs/>
          <w:b/>
        </w:rPr>
        <w:t xml:space="preserve">Avoided Emissions from Recycling:</w:t>
      </w:r>
      <w:r>
        <w:t xml:space="preserve"> </w:t>
      </w:r>
      <w:r>
        <w:t xml:space="preserve">For calculation purposes, an average avoided emission factor of 1.0 kg CO2e per kg of recycled material is used. This represents the emissions saved by using recycled material instead of virgin material.</w:t>
      </w:r>
    </w:p>
    <w:p>
      <w:r>
        <w:pict>
          <v:rect style="width:0;height:1.5pt" o:hralign="center" o:hrstd="t" o:hr="t"/>
        </w:pict>
      </w:r>
    </w:p>
    <w:bookmarkEnd w:id="27"/>
    <w:bookmarkEnd w:id="28"/>
    <w:bookmarkStart w:id="40" w:name="Xb404f6bea4a0013006ec7a9103609d9ea6643c1"/>
    <w:p>
      <w:pPr>
        <w:pStyle w:val="Heading2"/>
      </w:pPr>
      <w:r>
        <w:t xml:space="preserve">4. Calculate Emissions (Activity * Emission Factor = CO2e)</w:t>
      </w:r>
    </w:p>
    <w:p>
      <w:pPr>
        <w:pStyle w:val="FirstParagraph"/>
      </w:pPr>
      <w:r>
        <w:t xml:space="preserve">Emissions are calculated for each stage and categorized according to the GHG Protocol.</w:t>
      </w:r>
    </w:p>
    <w:bookmarkStart w:id="29" w:name="total-product-weight"/>
    <w:p>
      <w:pPr>
        <w:pStyle w:val="Heading3"/>
      </w:pPr>
      <w:r>
        <w:t xml:space="preserve">Total Product Weight</w:t>
      </w:r>
    </w:p>
    <w:p>
      <w:pPr>
        <w:pStyle w:val="FirstParagraph"/>
      </w:pPr>
      <w:r>
        <w:t xml:space="preserve">Based on the BOM, the total material weight of fhkhkzuuhl is approximately: 0.5 kg (Aluminum) + 1.0 kg (Plastic) + 0.2 kg (PCB) + 0.1 kg (Battery) + 0.3 kg (Display) + 0.05 kg (Copper) = 2.15 kg. For transport and EoL calculations, we used a nominal product weight of 2 kg for simplicity and due to the placeholder nature of "fhkhkzuuhl".</w:t>
      </w:r>
    </w:p>
    <w:bookmarkEnd w:id="29"/>
    <w:bookmarkStart w:id="30" w:name="scope-1-direct-emissions"/>
    <w:p>
      <w:pPr>
        <w:pStyle w:val="Heading3"/>
      </w:pPr>
      <w:r>
        <w:t xml:space="preserve">Scope 1: Direct Emissions</w:t>
      </w:r>
    </w:p>
    <w:p>
      <w:pPr>
        <w:pStyle w:val="FirstParagraph"/>
      </w:pPr>
      <w:r>
        <w:t xml:space="preserve">For a Product Carbon Footprint with a \'factory_gate\' system boundary and primary production energy being purchased electricity, direct (Scope 1) emissions from on-site fuel combustion are assumed to be negligible or covered within upstream Scope 3 emissions of purchased materials if applicable. No specific direct fuel combustion data was provided for the manufacturing process.</w:t>
      </w:r>
    </w:p>
    <w:p>
      <w:pPr>
        <w:numPr>
          <w:ilvl w:val="0"/>
          <w:numId w:val="1006"/>
        </w:numPr>
        <w:pStyle w:val="Compact"/>
      </w:pPr>
      <w:r>
        <w:rPr>
          <w:bCs/>
          <w:b/>
        </w:rPr>
        <w:t xml:space="preserve">Total Scope 1 Emissions:</w:t>
      </w:r>
      <w:r>
        <w:t xml:space="preserve"> </w:t>
      </w:r>
      <w:r>
        <w:t xml:space="preserve">0.00 kg CO2e</w:t>
      </w:r>
    </w:p>
    <w:bookmarkEnd w:id="30"/>
    <w:bookmarkStart w:id="31" w:name="X158095f9350ac49aa5904e2590d8a9baedd908f"/>
    <w:p>
      <w:pPr>
        <w:pStyle w:val="Heading3"/>
      </w:pPr>
      <w:r>
        <w:t xml:space="preserve">Scope 2: Purchased Energy Emissions (Production Phase)</w:t>
      </w:r>
    </w:p>
    <w:p>
      <w:pPr>
        <w:pStyle w:val="FirstParagraph"/>
      </w:pPr>
      <w:r>
        <w:t xml:space="preserve">These emissions relate to the electricity consumed during the manufacturing of \'fhkhkzuuhl\' at the kwxjnkiuez facility in China.</w:t>
      </w:r>
    </w:p>
    <w:p>
      <w:pPr>
        <w:numPr>
          <w:ilvl w:val="0"/>
          <w:numId w:val="1007"/>
        </w:numPr>
        <w:pStyle w:val="Compact"/>
      </w:pPr>
      <w:r>
        <w:t xml:space="preserve">Energy Intensity per unit:</w:t>
      </w:r>
    </w:p>
    <w:p>
      <w:pPr>
        <w:numPr>
          <w:ilvl w:val="0"/>
          <w:numId w:val="1000"/>
        </w:numPr>
        <w:pStyle w:val="Compact"/>
      </w:pPr>
      <w:r>
        <w:t xml:space="preserve">kWh/unit</w:t>
      </w:r>
    </w:p>
    <w:p>
      <w:pPr>
        <w:numPr>
          <w:ilvl w:val="0"/>
          <w:numId w:val="1007"/>
        </w:numPr>
        <w:pStyle w:val="Compact"/>
      </w:pPr>
      <w:r>
        <w:t xml:space="preserve">Renewable Energy Usage:</w:t>
      </w:r>
    </w:p>
    <w:p>
      <w:pPr>
        <w:numPr>
          <w:ilvl w:val="0"/>
          <w:numId w:val="1000"/>
        </w:numPr>
        <w:pStyle w:val="Compact"/>
      </w:pPr>
      <w:r>
        <w:t xml:space="preserve">%</w:t>
      </w:r>
    </w:p>
    <w:p>
      <w:pPr>
        <w:numPr>
          <w:ilvl w:val="0"/>
          <w:numId w:val="1007"/>
        </w:numPr>
        <w:pStyle w:val="Compact"/>
      </w:pPr>
      <w:r>
        <w:t xml:space="preserve">China Grid EF:</w:t>
      </w:r>
    </w:p>
    <w:p>
      <w:pPr>
        <w:numPr>
          <w:ilvl w:val="0"/>
          <w:numId w:val="1000"/>
        </w:numPr>
        <w:pStyle w:val="Compact"/>
      </w:pPr>
      <w:r>
        <w:t xml:space="preserve">kg CO2e/kWh</w:t>
      </w:r>
    </w:p>
    <w:p>
      <w:pPr>
        <w:numPr>
          <w:ilvl w:val="0"/>
          <w:numId w:val="1007"/>
        </w:numPr>
        <w:pStyle w:val="Compact"/>
      </w:pPr>
      <w:r>
        <w:t xml:space="preserve">Effective Grid EF (after renewables adjustment):</w:t>
      </w:r>
    </w:p>
    <w:p>
      <w:pPr>
        <w:numPr>
          <w:ilvl w:val="0"/>
          <w:numId w:val="1000"/>
        </w:numPr>
        <w:pStyle w:val="Compact"/>
      </w:pPr>
      <w:r>
        <w:t xml:space="preserve">kg CO2e/kWh</w:t>
      </w:r>
    </w:p>
    <w:p>
      <w:pPr>
        <w:numPr>
          <w:ilvl w:val="0"/>
          <w:numId w:val="1007"/>
        </w:numPr>
        <w:pStyle w:val="Compact"/>
      </w:pPr>
      <w:r>
        <w:rPr>
          <w:bCs/>
          <w:b/>
        </w:rPr>
        <w:t xml:space="preserve">Total Scope 2 Emissions:</w:t>
      </w:r>
    </w:p>
    <w:p>
      <w:pPr>
        <w:numPr>
          <w:ilvl w:val="0"/>
          <w:numId w:val="1000"/>
        </w:numPr>
        <w:pStyle w:val="Compact"/>
      </w:pPr>
      <w:r>
        <w:t xml:space="preserve">kg CO2e</w:t>
      </w:r>
    </w:p>
    <w:bookmarkEnd w:id="31"/>
    <w:bookmarkStart w:id="37" w:name="scope-3-value-chain-emissions"/>
    <w:p>
      <w:pPr>
        <w:pStyle w:val="Heading3"/>
      </w:pPr>
      <w:r>
        <w:t xml:space="preserve">Scope 3: Value Chain Emissions</w:t>
      </w:r>
    </w:p>
    <w:p>
      <w:pPr>
        <w:pStyle w:val="FirstParagraph"/>
      </w:pPr>
      <w:r>
        <w:t xml:space="preserve">Scope 3 emissions cover all indirect emissions occurring in the value chain, both upstream and downstream, not included in Scope 1 or Scope 2. The target of at least 95% coverage for Scope 3 reporting is applied.</w:t>
      </w:r>
    </w:p>
    <w:bookmarkStart w:id="32" w:name="X7afab54ab53b6e62310315cdba9f850c4aa64da"/>
    <w:p>
      <w:pPr>
        <w:pStyle w:val="Heading4"/>
      </w:pPr>
      <w:r>
        <w:t xml:space="preserve">Category 1: Upstream Materials (Purchased Goods and Services)</w:t>
      </w:r>
    </w:p>
    <w:p>
      <w:pPr>
        <w:pStyle w:val="FirstParagraph"/>
      </w:pPr>
      <w:r>
        <w:t xml:space="preserve">This includes emissions from the extraction, production, and transport of raw materials and components for \'fhkhkzuuhl\' up to the factory gate. The \'Total Carbon\' values from the BOM are used directly as per instruction.</w:t>
      </w:r>
    </w:p>
    <w:p>
      <w:pPr>
        <w:numPr>
          <w:ilvl w:val="0"/>
          <w:numId w:val="1008"/>
        </w:numPr>
        <w:pStyle w:val="Compact"/>
      </w:pPr>
      <w:r>
        <w:t xml:space="preserve">Sum of \'Total Carbon\' from Detailed BOM (pnyoqpmv):</w:t>
      </w:r>
    </w:p>
    <w:p>
      <w:pPr>
        <w:numPr>
          <w:ilvl w:val="0"/>
          <w:numId w:val="1000"/>
        </w:numPr>
        <w:pStyle w:val="Compact"/>
      </w:pPr>
      <w:r>
        <w:t xml:space="preserve">kg CO2e</w:t>
      </w:r>
    </w:p>
    <w:p>
      <w:pPr>
        <w:numPr>
          <w:ilvl w:val="0"/>
          <w:numId w:val="1008"/>
        </w:numPr>
        <w:pStyle w:val="Compact"/>
      </w:pPr>
      <w:r>
        <w:rPr>
          <w:bCs/>
          <w:b/>
        </w:rPr>
        <w:t xml:space="preserve">Total Scope 3 - Upstream Materials:</w:t>
      </w:r>
    </w:p>
    <w:p>
      <w:pPr>
        <w:numPr>
          <w:ilvl w:val="0"/>
          <w:numId w:val="1000"/>
        </w:numPr>
        <w:pStyle w:val="Compact"/>
      </w:pPr>
      <w:r>
        <w:t xml:space="preserve">kg CO2e</w:t>
      </w:r>
    </w:p>
    <w:bookmarkEnd w:id="32"/>
    <w:bookmarkStart w:id="33" w:name="X81feec90b8b7c9bf2c1f14d160bff67351c8b71"/>
    <w:p>
      <w:pPr>
        <w:pStyle w:val="Heading4"/>
      </w:pPr>
      <w:r>
        <w:t xml:space="preserve">Category 4: Upstream Transportation and Distribution (Inbound Logistics)</w:t>
      </w:r>
    </w:p>
    <w:p>
      <w:pPr>
        <w:pStyle w:val="FirstParagraph"/>
      </w:pPr>
      <w:r>
        <w:t xml:space="preserve">Emissions associated with transporting raw materials and components to kwxjnkiuez\'s factory in China.</w:t>
      </w:r>
    </w:p>
    <w:p>
      <w:pPr>
        <w:numPr>
          <w:ilvl w:val="0"/>
          <w:numId w:val="1009"/>
        </w:numPr>
        <w:pStyle w:val="Compact"/>
      </w:pPr>
      <w:r>
        <w:t xml:space="preserve">Assumed Transport Distance (fztfumoqim):</w:t>
      </w:r>
    </w:p>
    <w:p>
      <w:pPr>
        <w:numPr>
          <w:ilvl w:val="0"/>
          <w:numId w:val="1000"/>
        </w:numPr>
        <w:pStyle w:val="Compact"/>
      </w:pPr>
      <w:r>
        <w:t xml:space="preserve">km</w:t>
      </w:r>
    </w:p>
    <w:p>
      <w:pPr>
        <w:numPr>
          <w:ilvl w:val="0"/>
          <w:numId w:val="1009"/>
        </w:numPr>
        <w:pStyle w:val="Compact"/>
      </w:pPr>
      <w:r>
        <w:t xml:space="preserve">Assumed Nominal Product Weight:</w:t>
      </w:r>
    </w:p>
    <w:p>
      <w:pPr>
        <w:numPr>
          <w:ilvl w:val="0"/>
          <w:numId w:val="1000"/>
        </w:numPr>
        <w:pStyle w:val="Compact"/>
      </w:pPr>
      <w:r>
        <w:t xml:space="preserve">kg (0.00</w:t>
      </w:r>
    </w:p>
    <w:p>
      <w:pPr>
        <w:numPr>
          <w:ilvl w:val="0"/>
          <w:numId w:val="1000"/>
        </w:numPr>
        <w:pStyle w:val="Compact"/>
      </w:pPr>
      <w:r>
        <w:t xml:space="preserve">tonnes)</w:t>
      </w:r>
    </w:p>
    <w:p>
      <w:pPr>
        <w:numPr>
          <w:ilvl w:val="0"/>
          <w:numId w:val="1009"/>
        </w:numPr>
        <w:pStyle w:val="Compact"/>
      </w:pPr>
      <w:r>
        <w:t xml:space="preserve">HGV Emission Factor:</w:t>
      </w:r>
    </w:p>
    <w:p>
      <w:pPr>
        <w:numPr>
          <w:ilvl w:val="0"/>
          <w:numId w:val="1000"/>
        </w:numPr>
        <w:pStyle w:val="Compact"/>
      </w:pPr>
      <w:r>
        <w:t xml:space="preserve">kg CO2e/tkm</w:t>
      </w:r>
    </w:p>
    <w:p>
      <w:pPr>
        <w:numPr>
          <w:ilvl w:val="0"/>
          <w:numId w:val="1009"/>
        </w:numPr>
        <w:pStyle w:val="Compact"/>
      </w:pPr>
      <w:r>
        <w:rPr>
          <w:bCs/>
          <w:b/>
        </w:rPr>
        <w:t xml:space="preserve">Total Scope 3 - Upstream Transport:</w:t>
      </w:r>
    </w:p>
    <w:p>
      <w:pPr>
        <w:numPr>
          <w:ilvl w:val="0"/>
          <w:numId w:val="1000"/>
        </w:numPr>
        <w:pStyle w:val="Compact"/>
      </w:pPr>
      <w:r>
        <w:t xml:space="preserve">kg CO2e</w:t>
      </w:r>
    </w:p>
    <w:bookmarkEnd w:id="33"/>
    <w:bookmarkStart w:id="34" w:name="Xe6a609cc71639c4bb5b5bcd247c776c9d89fa33"/>
    <w:p>
      <w:pPr>
        <w:pStyle w:val="Heading4"/>
      </w:pPr>
      <w:r>
        <w:t xml:space="preserve">Category 9: Downstream Transportation and Distribution (Last-Mile Delivery)</w:t>
      </w:r>
    </w:p>
    <w:p>
      <w:pPr>
        <w:pStyle w:val="FirstParagraph"/>
      </w:pPr>
      <w:r>
        <w:t xml:space="preserve">Emissions from the last-mile delivery of \'fhkhkzuuhl\' to the end-consumer.</w:t>
      </w:r>
    </w:p>
    <w:p>
      <w:pPr>
        <w:numPr>
          <w:ilvl w:val="0"/>
          <w:numId w:val="1010"/>
        </w:numPr>
        <w:pStyle w:val="Compact"/>
      </w:pPr>
      <w:r>
        <w:t xml:space="preserve">Assumed Transport Distance (fztfumoqim):</w:t>
      </w:r>
    </w:p>
    <w:p>
      <w:pPr>
        <w:numPr>
          <w:ilvl w:val="0"/>
          <w:numId w:val="1000"/>
        </w:numPr>
        <w:pStyle w:val="Compact"/>
      </w:pPr>
      <w:r>
        <w:t xml:space="preserve">km</w:t>
      </w:r>
    </w:p>
    <w:p>
      <w:pPr>
        <w:numPr>
          <w:ilvl w:val="0"/>
          <w:numId w:val="1010"/>
        </w:numPr>
        <w:pStyle w:val="Compact"/>
      </w:pPr>
      <w:r>
        <w:t xml:space="preserve">Assumed Nominal Product Weight:</w:t>
      </w:r>
    </w:p>
    <w:p>
      <w:pPr>
        <w:numPr>
          <w:ilvl w:val="0"/>
          <w:numId w:val="1000"/>
        </w:numPr>
        <w:pStyle w:val="Compact"/>
      </w:pPr>
      <w:r>
        <w:t xml:space="preserve">kg (0.00</w:t>
      </w:r>
    </w:p>
    <w:p>
      <w:pPr>
        <w:numPr>
          <w:ilvl w:val="0"/>
          <w:numId w:val="1000"/>
        </w:numPr>
        <w:pStyle w:val="Compact"/>
      </w:pPr>
      <w:r>
        <w:t xml:space="preserve">tonnes)</w:t>
      </w:r>
    </w:p>
    <w:p>
      <w:pPr>
        <w:numPr>
          <w:ilvl w:val="0"/>
          <w:numId w:val="1010"/>
        </w:numPr>
        <w:pStyle w:val="Compact"/>
      </w:pPr>
      <w:r>
        <w:t xml:space="preserve">LCV Emission Factor:</w:t>
      </w:r>
    </w:p>
    <w:p>
      <w:pPr>
        <w:numPr>
          <w:ilvl w:val="0"/>
          <w:numId w:val="1000"/>
        </w:numPr>
        <w:pStyle w:val="Compact"/>
      </w:pPr>
      <w:r>
        <w:t xml:space="preserve">kg CO2e/tkm</w:t>
      </w:r>
    </w:p>
    <w:p>
      <w:pPr>
        <w:numPr>
          <w:ilvl w:val="0"/>
          <w:numId w:val="1010"/>
        </w:numPr>
        <w:pStyle w:val="Compact"/>
      </w:pPr>
      <w:r>
        <w:rPr>
          <w:bCs/>
          <w:b/>
        </w:rPr>
        <w:t xml:space="preserve">Total Scope 3 - Downstream Transport:</w:t>
      </w:r>
    </w:p>
    <w:p>
      <w:pPr>
        <w:numPr>
          <w:ilvl w:val="0"/>
          <w:numId w:val="1000"/>
        </w:numPr>
        <w:pStyle w:val="Compact"/>
      </w:pPr>
      <w:r>
        <w:t xml:space="preserve">kg CO2e</w:t>
      </w:r>
    </w:p>
    <w:bookmarkEnd w:id="34"/>
    <w:bookmarkStart w:id="35" w:name="category-11-use-of-sold-products"/>
    <w:p>
      <w:pPr>
        <w:pStyle w:val="Heading4"/>
      </w:pPr>
      <w:r>
        <w:t xml:space="preserve">Category 11: Use of Sold Products</w:t>
      </w:r>
    </w:p>
    <w:p>
      <w:pPr>
        <w:pStyle w:val="FirstParagraph"/>
      </w:pPr>
      <w:r>
        <w:t xml:space="preserve">Emissions generated during the typical use of \'fhkhkzuuhl\' by the end-consumer, primarily from electricity consumption.</w:t>
      </w:r>
    </w:p>
    <w:p>
      <w:pPr>
        <w:numPr>
          <w:ilvl w:val="0"/>
          <w:numId w:val="1011"/>
        </w:numPr>
        <w:pStyle w:val="Compact"/>
      </w:pPr>
      <w:r>
        <w:t xml:space="preserve">Product Lifespan (zfhvkfsomv):</w:t>
      </w:r>
    </w:p>
    <w:p>
      <w:pPr>
        <w:numPr>
          <w:ilvl w:val="0"/>
          <w:numId w:val="1000"/>
        </w:numPr>
        <w:pStyle w:val="Compact"/>
      </w:pPr>
      <w:r>
        <w:t xml:space="preserve">years</w:t>
      </w:r>
    </w:p>
    <w:p>
      <w:pPr>
        <w:numPr>
          <w:ilvl w:val="0"/>
          <w:numId w:val="1011"/>
        </w:numPr>
        <w:pStyle w:val="Compact"/>
      </w:pPr>
      <w:r>
        <w:t xml:space="preserve">Energy Consumption in Use (jjrjsmiyxg):</w:t>
      </w:r>
    </w:p>
    <w:p>
      <w:pPr>
        <w:numPr>
          <w:ilvl w:val="0"/>
          <w:numId w:val="1000"/>
        </w:numPr>
        <w:pStyle w:val="Compact"/>
      </w:pPr>
      <w:r>
        <w:t xml:space="preserve">kWh/year</w:t>
      </w:r>
    </w:p>
    <w:p>
      <w:pPr>
        <w:numPr>
          <w:ilvl w:val="0"/>
          <w:numId w:val="1011"/>
        </w:numPr>
        <w:pStyle w:val="Compact"/>
      </w:pPr>
      <w:r>
        <w:t xml:space="preserve">Europe Grid EF:</w:t>
      </w:r>
    </w:p>
    <w:p>
      <w:pPr>
        <w:numPr>
          <w:ilvl w:val="0"/>
          <w:numId w:val="1000"/>
        </w:numPr>
        <w:pStyle w:val="Compact"/>
      </w:pPr>
      <w:r>
        <w:t xml:space="preserve">kg CO2e/kWh</w:t>
      </w:r>
    </w:p>
    <w:p>
      <w:pPr>
        <w:numPr>
          <w:ilvl w:val="0"/>
          <w:numId w:val="1011"/>
        </w:numPr>
        <w:pStyle w:val="Compact"/>
      </w:pPr>
      <w:r>
        <w:rPr>
          <w:bCs/>
          <w:b/>
        </w:rPr>
        <w:t xml:space="preserve">Total Scope 3 - Use Phase:</w:t>
      </w:r>
    </w:p>
    <w:p>
      <w:pPr>
        <w:numPr>
          <w:ilvl w:val="0"/>
          <w:numId w:val="1000"/>
        </w:numPr>
        <w:pStyle w:val="Compact"/>
      </w:pPr>
      <w:r>
        <w:t xml:space="preserve">kg CO2e</w:t>
      </w:r>
    </w:p>
    <w:bookmarkEnd w:id="35"/>
    <w:bookmarkStart w:id="36" w:name="X9f66eef2700632e081dfe139021cb724ffcd2c5"/>
    <w:p>
      <w:pPr>
        <w:pStyle w:val="Heading4"/>
      </w:pPr>
      <w:r>
        <w:t xml:space="preserve">Category 12: End-of-Life Treatment of Sold Products</w:t>
      </w:r>
    </w:p>
    <w:p>
      <w:pPr>
        <w:pStyle w:val="FirstParagraph"/>
      </w:pPr>
      <w:r>
        <w:t xml:space="preserve">Emissions or avoided emissions associated with the disposal and recycling of \'fhkhkzuuhl\'.</w:t>
      </w:r>
    </w:p>
    <w:p>
      <w:pPr>
        <w:numPr>
          <w:ilvl w:val="0"/>
          <w:numId w:val="1012"/>
        </w:numPr>
        <w:pStyle w:val="Compact"/>
      </w:pPr>
      <w:r>
        <w:t xml:space="preserve">Recyclability Percentage (wsdlupjovr):</w:t>
      </w:r>
    </w:p>
    <w:p>
      <w:pPr>
        <w:numPr>
          <w:ilvl w:val="0"/>
          <w:numId w:val="1000"/>
        </w:numPr>
        <w:pStyle w:val="Compact"/>
      </w:pPr>
      <w:r>
        <w:t xml:space="preserve">%</w:t>
      </w:r>
    </w:p>
    <w:p>
      <w:pPr>
        <w:numPr>
          <w:ilvl w:val="0"/>
          <w:numId w:val="1012"/>
        </w:numPr>
        <w:pStyle w:val="Compact"/>
      </w:pPr>
      <w:r>
        <w:t xml:space="preserve">Circular/Take-back Programs (vhylnxjmzq):</w:t>
      </w:r>
    </w:p>
    <w:p>
      <w:pPr>
        <w:numPr>
          <w:ilvl w:val="0"/>
          <w:numId w:val="1000"/>
        </w:numPr>
        <w:pStyle w:val="Compact"/>
      </w:pPr>
      <w:r>
        <w:t xml:space="preserve">. These programs enhance material recovery and recycling rates.</w:t>
      </w:r>
    </w:p>
    <w:p>
      <w:pPr>
        <w:numPr>
          <w:ilvl w:val="0"/>
          <w:numId w:val="1012"/>
        </w:numPr>
        <w:pStyle w:val="Compact"/>
      </w:pPr>
      <w:r>
        <w:t xml:space="preserve">Assumed Avoided Emissions from Recycling:</w:t>
      </w:r>
    </w:p>
    <w:p>
      <w:pPr>
        <w:numPr>
          <w:ilvl w:val="0"/>
          <w:numId w:val="1000"/>
        </w:numPr>
        <w:pStyle w:val="Compact"/>
      </w:pPr>
      <w:r>
        <w:t xml:space="preserve">kg CO2e/kg recycled material</w:t>
      </w:r>
    </w:p>
    <w:p>
      <w:pPr>
        <w:numPr>
          <w:ilvl w:val="0"/>
          <w:numId w:val="1012"/>
        </w:numPr>
        <w:pStyle w:val="Compact"/>
      </w:pPr>
      <w:r>
        <w:t xml:space="preserve">Recycled Material Quantity:</w:t>
      </w:r>
    </w:p>
    <w:p>
      <w:pPr>
        <w:numPr>
          <w:ilvl w:val="0"/>
          <w:numId w:val="1000"/>
        </w:numPr>
        <w:pStyle w:val="Compact"/>
      </w:pPr>
      <w:r>
        <w:t xml:space="preserve">kg</w:t>
      </w:r>
    </w:p>
    <w:p>
      <w:pPr>
        <w:numPr>
          <w:ilvl w:val="0"/>
          <w:numId w:val="1012"/>
        </w:numPr>
        <w:pStyle w:val="Compact"/>
      </w:pPr>
      <w:r>
        <w:rPr>
          <w:bCs/>
          <w:b/>
        </w:rPr>
        <w:t xml:space="preserve">Total Scope 3 - End-of-Life (Avoided Emissions):</w:t>
      </w:r>
      <w:r>
        <w:t xml:space="preserve"> </w:t>
      </w:r>
      <w:r>
        <w:t xml:space="preserve">-</w:t>
      </w:r>
    </w:p>
    <w:p>
      <w:pPr>
        <w:numPr>
          <w:ilvl w:val="0"/>
          <w:numId w:val="1000"/>
        </w:numPr>
        <w:pStyle w:val="Compact"/>
      </w:pPr>
      <w:r>
        <w:t xml:space="preserve">kg CO2e (credit for recycling)</w:t>
      </w:r>
    </w:p>
    <w:bookmarkEnd w:id="36"/>
    <w:bookmarkEnd w:id="37"/>
    <w:bookmarkStart w:id="38" w:name="X439aeab12f653c5be8a9767687610423a65f1bc"/>
    <w:p>
      <w:pPr>
        <w:pStyle w:val="Heading3"/>
      </w:pPr>
      <w:r>
        <w:t xml:space="preserve">2026 LSR Update: Land Sector and Removals (LSR) Standard</w:t>
      </w:r>
    </w:p>
    <w:p>
      <w:pPr>
        <w:pStyle w:val="FirstParagraph"/>
      </w:pPr>
      <w:r>
        <w:t xml:space="preserve">The analysis acknowledges the application of the Land Sector and Removals (LSR) Standard. For the product \'fhkhkzuuhl\', specific land use or carbon removal activities are not explicitly detailed in the provided parameters. However, the methodology ensures that if such data were available (e.g., from bio-based materials with land use impacts or engineered carbon removals in the supply chain), they would be quantified and reported in line with the LSR Standard\'s requirements for removals and land-based emissions. In this current assessment, no direct LSR impacts are quantified due to lack of specific input data.</w:t>
      </w:r>
    </w:p>
    <w:bookmarkEnd w:id="38"/>
    <w:bookmarkStart w:id="39" w:name="summary-of-emissions"/>
    <w:p>
      <w:pPr>
        <w:pStyle w:val="Heading3"/>
      </w:pPr>
      <w:r>
        <w:t xml:space="preserve">Summary of Emissions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(Production)</w:t>
            </w:r>
          </w:p>
        </w:tc>
        <w:tc>
          <w:tcPr/>
          <w:p>
            <w:pPr>
              <w:pStyle w:val="Compact"/>
            </w:pPr>
          </w:p>
        </w:tc>
      </w:tr>
      <w:tr>
        <w:tc>
          <w:tcPr>
            <w:vMerge w:val="restart"/>
          </w:tcPr>
          <w:p>
            <w:pPr>
              <w:pStyle w:val="Compact"/>
              <w:jc w:val="left"/>
            </w:pPr>
            <w:r>
              <w:t xml:space="preserve">Scope 3</w:t>
            </w:r>
          </w:p>
        </w:tc>
        <w:tc>
          <w:tcPr/>
          <w:p>
            <w:pPr>
              <w:pStyle w:val="Compact"/>
              <w:jc w:val="left"/>
            </w:pPr>
            <w:r>
              <w:t xml:space="preserve">Category 1: Upstream Materials</w:t>
            </w:r>
          </w:p>
        </w:tc>
        <w:tc>
          <w:tcPr/>
          <w:p>
            <w:pPr>
              <w:pStyle w:val="Compact"/>
            </w:pPr>
          </w:p>
        </w:tc>
      </w:tr>
      <w:tr>
        <w:tc>
          <w:tcPr>
            <w:gridSpan w:val="1"/>
            <w:vMerge w:val="continue"/>
          </w:tcPr>
          <w:p>
            <w:pPr/>
          </w:p>
        </w:tc>
        <w:tc>
          <w:tcPr/>
          <w:p>
            <w:pPr>
              <w:pStyle w:val="Compact"/>
              <w:jc w:val="left"/>
            </w:pPr>
            <w:r>
              <w:t xml:space="preserve">Category 4: Upstream Transport</w:t>
            </w:r>
          </w:p>
        </w:tc>
        <w:tc>
          <w:tcPr/>
          <w:p>
            <w:pPr>
              <w:pStyle w:val="Compact"/>
            </w:pPr>
          </w:p>
        </w:tc>
      </w:tr>
      <w:tr>
        <w:tc>
          <w:tcPr>
            <w:gridSpan w:val="1"/>
            <w:vMerge w:val="continue"/>
          </w:tcPr>
          <w:p>
            <w:pPr/>
          </w:p>
        </w:tc>
        <w:tc>
          <w:tcPr/>
          <w:p>
            <w:pPr>
              <w:pStyle w:val="Compact"/>
              <w:jc w:val="left"/>
            </w:pPr>
            <w:r>
              <w:t xml:space="preserve">Category 9: Downstream Transport</w:t>
            </w:r>
          </w:p>
        </w:tc>
        <w:tc>
          <w:tcPr/>
          <w:p>
            <w:pPr>
              <w:pStyle w:val="Compact"/>
            </w:pPr>
          </w:p>
        </w:tc>
      </w:tr>
      <w:tr>
        <w:tc>
          <w:tcPr>
            <w:gridSpan w:val="1"/>
            <w:vMerge w:val="continue"/>
          </w:tcPr>
          <w:p>
            <w:pPr/>
          </w:p>
        </w:tc>
        <w:tc>
          <w:tcPr/>
          <w:p>
            <w:pPr>
              <w:pStyle w:val="Compact"/>
              <w:jc w:val="left"/>
            </w:pPr>
            <w:r>
              <w:t xml:space="preserve">Category 11: Use Phase</w:t>
            </w:r>
          </w:p>
        </w:tc>
        <w:tc>
          <w:tcPr/>
          <w:p>
            <w:pPr>
              <w:pStyle w:val="Compact"/>
            </w:pPr>
          </w:p>
        </w:tc>
      </w:tr>
      <w:tr>
        <w:tc>
          <w:tcPr>
            <w:gridSpan w:val="1"/>
            <w:vMerge w:val="continue"/>
          </w:tcPr>
          <w:p>
            <w:pPr/>
          </w:p>
        </w:tc>
        <w:tc>
          <w:tcPr/>
          <w:p>
            <w:pPr>
              <w:pStyle w:val="Compact"/>
              <w:jc w:val="left"/>
            </w:pPr>
            <w:r>
              <w:t xml:space="preserve">Category 12: End-of-Life (Avoided)</w:t>
            </w:r>
          </w:p>
        </w:tc>
        <w:tc>
          <w:tcPr/>
          <w:p>
            <w:pPr>
              <w:pStyle w:val="Compact"/>
              <w:jc w:val="left"/>
            </w:pPr>
            <w:r>
              <w:t xml:space="preserve">-</w:t>
            </w:r>
          </w:p>
        </w:tc>
      </w:tr>
      <w:tr>
        <w:tc>
          <w:tcPr>
            <w:gridSpan w:val="2"/>
          </w:tcPr>
          <w:p>
            <w:pPr>
              <w:pStyle w:val="Compact"/>
              <w:jc w:val="left"/>
            </w:pPr>
            <w:r>
              <w:t xml:space="preserve">Total Product Carbon Footprint (PCF)</w:t>
            </w:r>
          </w:p>
        </w:tc>
        <w:tc>
          <w:tcPr/>
          <w:p>
            <w:pPr>
              <w:pStyle w:val="Compact"/>
            </w:pP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s-identification"/>
    <w:p>
      <w:pPr>
        <w:pStyle w:val="Heading3"/>
      </w:pPr>
      <w:r>
        <w:t xml:space="preserve">Hotspots Identification</w:t>
      </w:r>
    </w:p>
    <w:p>
      <w:pPr>
        <w:pStyle w:val="FirstParagraph"/>
      </w:pPr>
      <w:r>
        <w:t xml:space="preserve">Based on the calculations, the primary hotspots for \'fhkhkzuuhl\' are:</w:t>
      </w:r>
    </w:p>
    <w:p>
      <w:pPr>
        <w:numPr>
          <w:ilvl w:val="0"/>
          <w:numId w:val="1013"/>
        </w:numPr>
        <w:pStyle w:val="Compact"/>
      </w:pPr>
      <w:r>
        <w:rPr>
          <w:bCs/>
          <w:b/>
        </w:rPr>
        <w:t xml:space="preserve">Upstream Materials (Category 1):</w:t>
      </w:r>
      <w:r>
        <w:t xml:space="preserve"> </w:t>
      </w:r>
      <w:r>
        <w:t xml:space="preserve">This category contributes the largest portion of emissions, primarily due to the inherent carbon intensity of materials like electronics components (PCB, display, battery) and metals (aluminum). This highlights the critical importance of material selection and supply chain decarbonization.</w:t>
      </w:r>
    </w:p>
    <w:p>
      <w:pPr>
        <w:numPr>
          <w:ilvl w:val="0"/>
          <w:numId w:val="1013"/>
        </w:numPr>
        <w:pStyle w:val="Compact"/>
      </w:pPr>
      <w:r>
        <w:rPr>
          <w:bCs/>
          <w:b/>
        </w:rPr>
        <w:t xml:space="preserve">Use Phase (Category 11):</w:t>
      </w:r>
      <w:r>
        <w:t xml:space="preserve"> </w:t>
      </w:r>
      <w:r>
        <w:t xml:space="preserve">The energy consumption during the product\'s lifespan, even with an assumed European grid mix, is a significant contributor. Improving energy efficiency of the product is crucial.</w:t>
      </w:r>
    </w:p>
    <w:p>
      <w:pPr>
        <w:numPr>
          <w:ilvl w:val="0"/>
          <w:numId w:val="1013"/>
        </w:numPr>
        <w:pStyle w:val="Compact"/>
      </w:pPr>
      <w:r>
        <w:rPr>
          <w:bCs/>
          <w:b/>
        </w:rPr>
        <w:t xml:space="preserve">Production Energy (Scope 2):</w:t>
      </w:r>
      <w:r>
        <w:t xml:space="preserve"> </w:t>
      </w:r>
      <w:r>
        <w:t xml:space="preserve">While partially offset by renewable energy usage, the remaining grid electricity consumption in China still represents a notable impact. Further increasing renewable energy sourcing at the factory is beneficial.</w:t>
      </w:r>
    </w:p>
    <w:bookmarkEnd w:id="41"/>
    <w:bookmarkStart w:id="43" w:name="reliability-and-recommendations"/>
    <w:p>
      <w:pPr>
        <w:pStyle w:val="Heading3"/>
      </w:pPr>
      <w:r>
        <w:t xml:space="preserve">Reliability and Recommendations</w:t>
      </w:r>
    </w:p>
    <w:p>
      <w:pPr>
        <w:pStyle w:val="FirstParagraph"/>
      </w:pPr>
      <w:r>
        <w:t xml:space="preserve">The reliability of this PCF analysis is high for the parameters provided, as specific BOM data and energy usage percentages were incorporated. However, areas relying on placeholder values (e.g., transport mode/distance, nominal product weight for transport and EoL, and generic emission factors for certain stages) introduce some level of uncertainty.</w:t>
      </w:r>
    </w:p>
    <w:bookmarkStart w:id="42" w:name="recommendations-for-kwxjnkiuez"/>
    <w:p>
      <w:pPr>
        <w:pStyle w:val="Heading4"/>
      </w:pPr>
      <w:r>
        <w:t xml:space="preserve">Recommendations for kwxjnkiuez:</w:t>
      </w:r>
    </w:p>
    <w:p>
      <w:pPr>
        <w:numPr>
          <w:ilvl w:val="0"/>
          <w:numId w:val="1014"/>
        </w:numPr>
        <w:pStyle w:val="Compact"/>
      </w:pPr>
      <w:r>
        <w:rPr>
          <w:bCs/>
          <w:b/>
        </w:rPr>
        <w:t xml:space="preserve">Material Decarbonization:</w:t>
      </w:r>
      <w:r>
        <w:t xml:space="preserve"> </w:t>
      </w:r>
      <w:r>
        <w:t xml:space="preserve">Engage with suppliers to identify lower-carbon alternatives for high-impact materials, particularly for electronics and metals. Explore options for incorporating certified recycled content in components where feasible, ensuring robust traceability.</w:t>
      </w:r>
    </w:p>
    <w:p>
      <w:pPr>
        <w:numPr>
          <w:ilvl w:val="0"/>
          <w:numId w:val="1014"/>
        </w:numPr>
        <w:pStyle w:val="Compact"/>
      </w:pPr>
      <w:r>
        <w:rPr>
          <w:bCs/>
          <w:b/>
        </w:rPr>
        <w:t xml:space="preserve">Enhanced Energy Efficiency:</w:t>
      </w:r>
      <w:r>
        <w:t xml:space="preserve"> </w:t>
      </w:r>
      <w:r>
        <w:t xml:space="preserve">Focus R&amp;D efforts on reducing the energy consumption of \'fhkhkzuuhl\' during its use phase. This could involve more efficient components, smart power management features, or longer battery life to reduce charging frequency.</w:t>
      </w:r>
    </w:p>
    <w:p>
      <w:pPr>
        <w:numPr>
          <w:ilvl w:val="0"/>
          <w:numId w:val="1014"/>
        </w:numPr>
        <w:pStyle w:val="Compact"/>
      </w:pPr>
      <w:r>
        <w:rPr>
          <w:bCs/>
          <w:b/>
        </w:rPr>
        <w:t xml:space="preserve">Increase Renewable Energy Adoption:</w:t>
      </w:r>
      <w:r>
        <w:t xml:space="preserve"> </w:t>
      </w:r>
      <w:r>
        <w:t xml:space="preserve">Continue to invest in or procure 100% renewable energy for manufacturing operations in China. Explore options for virtual power purchase agreements or on-site renewable energy generation.</w:t>
      </w:r>
    </w:p>
    <w:p>
      <w:pPr>
        <w:numPr>
          <w:ilvl w:val="0"/>
          <w:numId w:val="1014"/>
        </w:numPr>
        <w:pStyle w:val="Compact"/>
      </w:pPr>
      <w:r>
        <w:rPr>
          <w:bCs/>
          <w:b/>
        </w:rPr>
        <w:t xml:space="preserve">Optimize Logistics:</w:t>
      </w:r>
      <w:r>
        <w:t xml:space="preserve"> </w:t>
      </w:r>
      <w:r>
        <w:t xml:space="preserve">Investigate opportunities to optimize transport modes and routes, especially for inbound materials and last-mile delivery. Prioritize modes with lower emission factors per tkm (e.g., rail or sea over air where possible). Gather more precise data on actual transport distances and vehicle types for greater accuracy.</w:t>
      </w:r>
    </w:p>
    <w:p>
      <w:pPr>
        <w:numPr>
          <w:ilvl w:val="0"/>
          <w:numId w:val="1014"/>
        </w:numPr>
        <w:pStyle w:val="Compact"/>
      </w:pPr>
      <w:r>
        <w:rPr>
          <w:bCs/>
          <w:b/>
        </w:rPr>
        <w:t xml:space="preserve">Strengthen Circular Economy Programs:</w:t>
      </w:r>
      <w:r>
        <w:t xml:space="preserve"> </w:t>
      </w:r>
      <w:r>
        <w:t xml:space="preserve">The existing \'vhylnxjmzq\' program is a positive step. Expand and promote these take-back programs to maximize product lifespan, refurbishment, and high-quality recycling. Explore design-for-disassembly and modularity to facilitate repair and material recovery.</w:t>
      </w:r>
    </w:p>
    <w:p>
      <w:pPr>
        <w:numPr>
          <w:ilvl w:val="0"/>
          <w:numId w:val="1014"/>
        </w:numPr>
        <w:pStyle w:val="Compact"/>
      </w:pPr>
      <w:r>
        <w:rPr>
          <w:bCs/>
          <w:b/>
        </w:rPr>
        <w:t xml:space="preserve">Data Granularity:</w:t>
      </w:r>
      <w:r>
        <w:t xml:space="preserve"> </w:t>
      </w:r>
      <w:r>
        <w:t xml:space="preserve">For future PCF analyses, seek to obtain more specific primary data for transport (actual modes, distances, and load factors) and detailed end-of-life treatment routes for all material fractions.</w:t>
      </w:r>
    </w:p>
    <w:p>
      <w:r>
        <w:pict>
          <v:rect style="width:0;height:1.5pt" o:hralign="center" o:hrstd="t" o:hr="t"/>
        </w:pict>
      </w:r>
    </w:p>
    <w:bookmarkEnd w:id="42"/>
    <w:bookmarkEnd w:id="43"/>
    <w:bookmarkEnd w:id="44"/>
    <w:bookmarkEnd w:id="45"/>
    <w:p>
      <w:pPr>
        <w:pStyle w:val="FirstParagraph"/>
      </w:pPr>
      <w:r>
        <w:t xml:space="preserve">Confidential - Internal Use Only | Generated May 27, 2026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fhkhkzuuhl</dc:title>
  <dc:creator/>
  <dc:description>Detailed Product Carbon Footprint (PCF) analysis for fhkhkzuuhl, adhering to GHG Protocol and 2026 LSR Update, conducted by Senior Sustainability Consultant uvkuhkyxzk for kwxjnkiuez.</dc:description>
  <dc:language>en</dc:language>
  <cp:keywords/>
  <dcterms:created xsi:type="dcterms:W3CDTF">2026-07-15T12:49:52Z</dcterms:created>
  <dcterms:modified xsi:type="dcterms:W3CDTF">2026-07-15T12:49:52Z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