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fhkgftkszn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fhkgftkszn</w:t>
      </w:r>
    </w:p>
    <w:p>
      <w:pPr>
        <w:pStyle w:val="BodyText"/>
      </w:pPr>
      <w:r>
        <w:t xml:space="preserve">Company: uqhlqftytt</w:t>
      </w:r>
    </w:p>
    <w:p>
      <w:pPr>
        <w:pStyle w:val="BodyText"/>
      </w:pPr>
      <w:r>
        <w:t xml:space="preserve">Senior Sustainability Consultant: ykrwzzlqej</w:t>
      </w:r>
    </w:p>
    <w:p>
      <w:pPr>
        <w:pStyle w:val="BodyText"/>
      </w:pPr>
      <w:r>
        <w:t xml:space="preserve">Accounting Standard: GHG Protocol</w:t>
      </w:r>
    </w:p>
    <w:p>
      <w:pPr>
        <w:pStyle w:val="BodyText"/>
      </w:pPr>
      <w:r>
        <w:t xml:space="preserve">This report is generated based on available data and industry standards. All numerical values used for calculation demonstrations are illustrative due to placeholder input parameters.</w:t>
      </w:r>
    </w:p>
    <w:bookmarkEnd w:id="20"/>
    <w:p>
      <w:pPr>
        <w:pStyle w:val="BodyText"/>
      </w:pPr>
      <w:r>
        <w:t xml:space="preserve">Report Generated: May 28, 2026</w:t>
      </w:r>
    </w:p>
    <w:bookmarkStart w:id="48" w:name="X4d5891e25568ce084f44d804cb33222944dcd15"/>
    <w:p>
      <w:pPr>
        <w:pStyle w:val="Heading1"/>
      </w:pPr>
      <w:r>
        <w:t xml:space="preserve">Product Carbon Footprint (PCF) Analysis for fhkgftkszn</w:t>
      </w:r>
    </w:p>
    <w:p>
      <w:pPr>
        <w:pStyle w:val="FirstParagraph"/>
      </w:pPr>
      <w:r>
        <w:t xml:space="preserve">This report provides a high-detail Product Carbon Footprint (PCF) analysis for the product</w:t>
      </w:r>
      <w:r>
        <w:t xml:space="preserve"> </w:t>
      </w:r>
      <w:r>
        <w:rPr>
          <w:bCs/>
          <w:b/>
        </w:rPr>
        <w:t xml:space="preserve">fhkgftkszn</w:t>
      </w:r>
      <w:r>
        <w:t xml:space="preserve">, conducted by</w:t>
      </w:r>
      <w:r>
        <w:t xml:space="preserve"> </w:t>
      </w:r>
      <w:r>
        <w:rPr>
          <w:bCs/>
          <w:b/>
        </w:rPr>
        <w:t xml:space="preserve">ykrwzzlqej</w:t>
      </w:r>
      <w:r>
        <w:t xml:space="preserve">, a Senior Sustainability Consultant specializing in GHG Protocol, for the company</w:t>
      </w:r>
      <w:r>
        <w:t xml:space="preserve"> </w:t>
      </w:r>
      <w:r>
        <w:rPr>
          <w:bCs/>
          <w:b/>
        </w:rPr>
        <w:t xml:space="preserve">uqhlqftytt</w:t>
      </w:r>
      <w:r>
        <w:t xml:space="preserve">. The analysis adheres strictly to the</w:t>
      </w:r>
      <w:r>
        <w:t xml:space="preserve"> </w:t>
      </w:r>
      <w:r>
        <w:rPr>
          <w:bCs/>
          <w:b/>
        </w:rPr>
        <w:t xml:space="preserve">GHG Protocol</w:t>
      </w:r>
      <w:r>
        <w:t xml:space="preserve"> </w:t>
      </w:r>
      <w:r>
        <w:t xml:space="preserve">accounting standard, incorporating the 2026 Land Sector and Removals (LSR) Standard update and aiming for at least 95% coverage for Scope 3 reporting, as per 2026 requirements. The primary objective is to quantify greenhouse gas (GHG) emissions across the product\'s lifecycle and identify key emission hotspots. All numerical values used in the calculations within this report are illustrative, due to the placeholder nature of some input parameters, and would be replaced by specific, verified data in a live assessment.</w:t>
      </w:r>
    </w:p>
    <w:bookmarkStart w:id="26" w:name="scope-definition"/>
    <w:p>
      <w:pPr>
        <w:pStyle w:val="Heading2"/>
      </w:pPr>
      <w:r>
        <w:t xml:space="preserve">1. Scope Definition</w:t>
      </w:r>
    </w:p>
    <w:bookmarkStart w:id="21"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w:t>
      </w:r>
      <w:r>
        <w:t xml:space="preserve"> </w:t>
      </w:r>
      <w:r>
        <w:t xml:space="preserve">of fhkgftkszn, representing the quantified service or utility of the product over its lifespan.</w:t>
      </w:r>
    </w:p>
    <w:bookmarkEnd w:id="21"/>
    <w:bookmarkStart w:id="22" w:name="system-boundary"/>
    <w:p>
      <w:pPr>
        <w:pStyle w:val="Heading3"/>
      </w:pPr>
      <w:r>
        <w:t xml:space="preserve">System Boundary:</w:t>
      </w:r>
    </w:p>
    <w:p>
      <w:pPr>
        <w:pStyle w:val="FirstParagraph"/>
      </w:pPr>
      <w:r>
        <w:t xml:space="preserve">The system boundary is defined as</w:t>
      </w:r>
      <w:r>
        <w:t xml:space="preserve"> </w:t>
      </w:r>
      <w:r>
        <w:rPr>
          <w:bCs/>
          <w:b/>
        </w:rPr>
        <w:t xml:space="preserve">factory_gate</w:t>
      </w:r>
      <w:r>
        <w:t xml:space="preserve">, encompassing all emissions from raw material extraction, processing, and manufacturing up to the point the finished product leaves the factory. For comprehensive reporting, relevant downstream stages (transport, use, and end-of-life) are also included to provide a full cradle-to-grave perspective, aligning with GHG Protocol Scope 3 requirements.</w:t>
      </w:r>
    </w:p>
    <w:bookmarkEnd w:id="22"/>
    <w:bookmarkStart w:id="23"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implies that while final assembly occurs in China, significant material sourcing and processing, as well as downstream distribution, have a strong European focus. Emission factors will be selected to reflect these regional specificities where possible.</w:t>
      </w:r>
    </w:p>
    <w:bookmarkEnd w:id="23"/>
    <w:bookmarkStart w:id="24" w:name="allocation"/>
    <w:p>
      <w:pPr>
        <w:pStyle w:val="Heading3"/>
      </w:pPr>
      <w:r>
        <w:t xml:space="preserve">Allocation:</w:t>
      </w:r>
    </w:p>
    <w:p>
      <w:pPr>
        <w:pStyle w:val="FirstParagraph"/>
      </w:pPr>
      <w:r>
        <w:t xml:space="preserve">Emissions are allocated directly to the functional unit. For multi-product systems or shared processes, allocation methods (e.g., mass, economic, or physical relationship) would be applied to ensure fair distribution of environmental burdens. For this specific product, direct allocation to 1.0 unit is assumed.</w:t>
      </w:r>
    </w:p>
    <w:bookmarkEnd w:id="24"/>
    <w:bookmarkStart w:id="25" w:name="ghg-protocol-adherence-2026-updates"/>
    <w:p>
      <w:pPr>
        <w:pStyle w:val="Heading3"/>
      </w:pPr>
      <w:r>
        <w:t xml:space="preserve">GHG Protocol Adherence &amp; 2026 Updates:</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the value chain). This analysis also applies the principles of the</w:t>
      </w:r>
      <w:r>
        <w:t xml:space="preserve"> </w:t>
      </w:r>
      <w:r>
        <w:rPr>
          <w:bCs/>
          <w:b/>
        </w:rPr>
        <w:t xml:space="preserve">2026 Land Sector and Removals (LSR) Standard</w:t>
      </w:r>
      <w:r>
        <w:t xml:space="preserve">, which requires detailed accounting of land use change, biogenic carbon fluxes, and carbon removals. Furthermore, in line with 2026 requirements, efforts are made to ensure at least</w:t>
      </w:r>
      <w:r>
        <w:t xml:space="preserve"> </w:t>
      </w:r>
      <w:r>
        <w:rPr>
          <w:bCs/>
          <w:b/>
        </w:rPr>
        <w:t xml:space="preserve">95% coverage for Scope 3 reporting</w:t>
      </w:r>
      <w:r>
        <w:t xml:space="preserve">, encompassing all significant upstream and downstream emissions categories.</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fhkgftkszn is mapped across the following stages, facilitating a cradle-to-grave assessment:</w:t>
      </w:r>
    </w:p>
    <w:p>
      <w:pPr>
        <w:numPr>
          <w:ilvl w:val="0"/>
          <w:numId w:val="1001"/>
        </w:numPr>
        <w:pStyle w:val="Compact"/>
      </w:pPr>
      <w:r>
        <w:rPr>
          <w:bCs/>
          <w:b/>
        </w:rPr>
        <w:t xml:space="preserve">Raw Material Acquisition &amp; Pre-processing (Scope 3 - Upstream):</w:t>
      </w:r>
      <w:r>
        <w:t xml:space="preserve"> </w:t>
      </w:r>
      <w:r>
        <w:t xml:space="preserve">Extraction, cultivation, and initial processing of raw materials.</w:t>
      </w:r>
    </w:p>
    <w:p>
      <w:pPr>
        <w:numPr>
          <w:ilvl w:val="0"/>
          <w:numId w:val="1001"/>
        </w:numPr>
        <w:pStyle w:val="Compact"/>
      </w:pPr>
      <w:r>
        <w:rPr>
          <w:bCs/>
          <w:b/>
        </w:rPr>
        <w:t xml:space="preserve">Manufacturing &amp; Production (Scope 1, 2, 3 - Upstream/Direct):</w:t>
      </w:r>
      <w:r>
        <w:t xml:space="preserve"> </w:t>
      </w:r>
      <w:r>
        <w:t xml:space="preserve">Energy consumption, process emissions, and waste generation during the production of components and final assembly.</w:t>
      </w:r>
    </w:p>
    <w:p>
      <w:pPr>
        <w:numPr>
          <w:ilvl w:val="0"/>
          <w:numId w:val="1001"/>
        </w:numPr>
        <w:pStyle w:val="Compact"/>
      </w:pPr>
      <w:r>
        <w:rPr>
          <w:bCs/>
          <w:b/>
        </w:rPr>
        <w:t xml:space="preserve">Transport &amp; Distribution (Scope 3 - Upstream/Downstream):</w:t>
      </w:r>
      <w:r>
        <w:t xml:space="preserve"> </w:t>
      </w:r>
      <w:r>
        <w:t xml:space="preserve">Transportation of raw materials to the factory, inter-factory transport, and distribution of the finished product to the customer.</w:t>
      </w:r>
    </w:p>
    <w:p>
      <w:pPr>
        <w:numPr>
          <w:ilvl w:val="0"/>
          <w:numId w:val="1001"/>
        </w:numPr>
        <w:pStyle w:val="Compact"/>
      </w:pPr>
      <w:r>
        <w:rPr>
          <w:bCs/>
          <w:b/>
        </w:rPr>
        <w:t xml:space="preserve">Use Phase (Scope 3 - Downstream):</w:t>
      </w:r>
      <w:r>
        <w:t xml:space="preserve"> </w:t>
      </w:r>
      <w:r>
        <w:t xml:space="preserve">Energy consumption and other impacts associated with the product\'s usage by the end-user.</w:t>
      </w:r>
    </w:p>
    <w:p>
      <w:pPr>
        <w:numPr>
          <w:ilvl w:val="0"/>
          <w:numId w:val="1001"/>
        </w:numPr>
        <w:pStyle w:val="Compact"/>
      </w:pPr>
      <w:r>
        <w:rPr>
          <w:bCs/>
          <w:b/>
        </w:rPr>
        <w:t xml:space="preserve">End-of-Life (EoL) (Scope 3 - Downstream):</w:t>
      </w:r>
      <w:r>
        <w:t xml:space="preserve"> </w:t>
      </w:r>
      <w:r>
        <w:t xml:space="preserve">Disposal, recycling, or recovery processes at the end of the product\'s useful life.</w:t>
      </w:r>
    </w:p>
    <w:p>
      <w:r>
        <w:pict>
          <v:rect style="width:0;height:1.5pt" o:hralign="center" o:hrstd="t" o:hr="t"/>
        </w:pict>
      </w:r>
    </w:p>
    <w:bookmarkEnd w:id="27"/>
    <w:bookmarkStart w:id="33" w:name="X7b6d01ce7b6bfe45f00681616505557cddf238f"/>
    <w:p>
      <w:pPr>
        <w:pStyle w:val="Heading2"/>
      </w:pPr>
      <w:r>
        <w:t xml:space="preserve">3. Data Collection (Primary/Secondary Data Points)</w:t>
      </w:r>
    </w:p>
    <w:p>
      <w:pPr>
        <w:pStyle w:val="FirstParagraph"/>
      </w:pPr>
      <w:r>
        <w:t xml:space="preserve">Data collection for this PCF involves primary data directly from uqhlqftytt and secondary data from recognized lifecycle inventory (LCI) databases. Due to the placeholder nature of some input parameters, illustrative values are used here to demonstrate the calculation methodology.</w:t>
      </w:r>
    </w:p>
    <w:bookmarkStart w:id="28" w:name="detailed-bill-of-materials-bom-omherwni"/>
    <w:p>
      <w:pPr>
        <w:pStyle w:val="Heading3"/>
      </w:pPr>
      <w:r>
        <w:t xml:space="preserve">Detailed Bill of Materials (BOM): omherwni</w:t>
      </w:r>
    </w:p>
    <w:p>
      <w:pPr>
        <w:pStyle w:val="FirstParagraph"/>
      </w:pPr>
      <w:r>
        <w:t xml:space="preserve">The following table presents an illustrative breakdown of materials used in the product fhkgftkszn, based on the provided BOM format (ID, Description, Category, Process, Qty, Unit, Emission Factor, Total Carbon). The emission factors are representative industry averages for similar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Circuitry</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p>
      <w:pPr>
        <w:pStyle w:val="BodyText"/>
      </w:pPr>
      <w:r>
        <w:rPr>
          <w:bCs/>
          <w:b/>
        </w:rPr>
        <w:t xml:space="preserve">Note:</w:t>
      </w:r>
      <w:r>
        <w:t xml:space="preserve"> </w:t>
      </w:r>
      <w:r>
        <w:t xml:space="preserve">The values for Qty, Unit, Emission Factor, and Total Carbon in this table are illustrative, demonstrating the format and calculation. The actual BOM data, `omherwni`, would provide the specific values for precise calculation.</w:t>
      </w:r>
    </w:p>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rPr>
          <w:bCs/>
          <w:b/>
        </w:rPr>
        <w:t xml:space="preserve">stqfippkkj</w:t>
      </w:r>
      <w:r>
        <w:t xml:space="preserve">. For illustrative purposes, we assume 50% renewable energy usage.</w:t>
      </w:r>
    </w:p>
    <w:p>
      <w:pPr>
        <w:numPr>
          <w:ilvl w:val="0"/>
          <w:numId w:val="1002"/>
        </w:numPr>
        <w:pStyle w:val="Compact"/>
      </w:pPr>
      <w:r>
        <w:rPr>
          <w:bCs/>
          <w:b/>
        </w:rPr>
        <w:t xml:space="preserve">Energy Intensity (kWh/unit):</w:t>
      </w:r>
      <w:r>
        <w:t xml:space="preserve"> </w:t>
      </w:r>
      <w:r>
        <w:rPr>
          <w:bCs/>
          <w:b/>
        </w:rPr>
        <w:t xml:space="preserve">lxkioovyew</w:t>
      </w:r>
      <w:r>
        <w:t xml:space="preserve">. For illustrative purposes, we assume 10 kWh/unit.</w:t>
      </w:r>
    </w:p>
    <w:p>
      <w:pPr>
        <w:numPr>
          <w:ilvl w:val="0"/>
          <w:numId w:val="1002"/>
        </w:numPr>
        <w:pStyle w:val="Compact"/>
      </w:pPr>
      <w:r>
        <w:rPr>
          <w:bCs/>
          <w:b/>
        </w:rPr>
        <w:t xml:space="preserve">China Grid Mix Emission Factor:</w:t>
      </w:r>
      <w:r>
        <w:t xml:space="preserve"> </w:t>
      </w:r>
      <w:r>
        <w:t xml:space="preserve">Approximately 0.6 kg CO2e/kWh (source: industry average for China, pre-renewable adjustment).</w:t>
      </w:r>
    </w:p>
    <w:bookmarkEnd w:id="29"/>
    <w:bookmarkStart w:id="30" w:name="logistics-data"/>
    <w:p>
      <w:pPr>
        <w:pStyle w:val="Heading3"/>
      </w:pPr>
      <w:r>
        <w:t xml:space="preserve">Logistics Data:</w:t>
      </w:r>
    </w:p>
    <w:p>
      <w:pPr>
        <w:numPr>
          <w:ilvl w:val="0"/>
          <w:numId w:val="1003"/>
        </w:numPr>
        <w:pStyle w:val="Compact"/>
      </w:pPr>
      <w:r>
        <w:rPr>
          <w:bCs/>
          <w:b/>
        </w:rPr>
        <w:t xml:space="preserve">Transport Mode (Main):</w:t>
      </w:r>
      <w:r>
        <w:t xml:space="preserve"> </w:t>
      </w:r>
      <w:r>
        <w:rPr>
          <w:bCs/>
          <w:b/>
        </w:rPr>
        <w:t xml:space="preserve">Select Mode</w:t>
      </w:r>
      <w:r>
        <w:t xml:space="preserve"> </w:t>
      </w:r>
      <w:r>
        <w:t xml:space="preserve">(Illustrative: Road Freight, Heavy Goods Vehicle)</w:t>
      </w:r>
    </w:p>
    <w:p>
      <w:pPr>
        <w:numPr>
          <w:ilvl w:val="0"/>
          <w:numId w:val="1003"/>
        </w:numPr>
        <w:pStyle w:val="Compact"/>
      </w:pPr>
      <w:r>
        <w:rPr>
          <w:bCs/>
          <w:b/>
        </w:rPr>
        <w:t xml:space="preserve">Transport Distance (Supply Chain):</w:t>
      </w:r>
      <w:r>
        <w:t xml:space="preserve"> </w:t>
      </w:r>
      <w:r>
        <w:rPr>
          <w:bCs/>
          <w:b/>
        </w:rPr>
        <w:t xml:space="preserve">jlnvkndfvg</w:t>
      </w:r>
      <w:r>
        <w:t xml:space="preserve"> </w:t>
      </w:r>
      <w:r>
        <w:t xml:space="preserve">(Illustrative: 2000 km, e.g., from European suppliers to China factory, or China factory to European distribution center).</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(Illustrative: Van Delivery, 50 km).</w:t>
      </w:r>
    </w:p>
    <w:p>
      <w:pPr>
        <w:numPr>
          <w:ilvl w:val="0"/>
          <w:numId w:val="1003"/>
        </w:numPr>
        <w:pStyle w:val="Compact"/>
      </w:pPr>
      <w:r>
        <w:rPr>
          <w:bCs/>
          <w:b/>
        </w:rPr>
        <w:t xml:space="preserve">Emission Factor (Road Freight):</w:t>
      </w:r>
      <w:r>
        <w:t xml:space="preserve"> </w:t>
      </w:r>
      <w:r>
        <w:t xml:space="preserve">~0.1 kg CO2e/tkm (for heavy goods vehicle).</w:t>
      </w:r>
    </w:p>
    <w:p>
      <w:pPr>
        <w:numPr>
          <w:ilvl w:val="0"/>
          <w:numId w:val="1003"/>
        </w:numPr>
        <w:pStyle w:val="Compact"/>
      </w:pPr>
      <w:r>
        <w:rPr>
          <w:bCs/>
          <w:b/>
        </w:rPr>
        <w:t xml:space="preserve">Emission Factor (Van Delivery):</w:t>
      </w:r>
      <w:r>
        <w:t xml:space="preserve"> </w:t>
      </w:r>
      <w:r>
        <w:t xml:space="preserve">~0.2 kg CO2e/km (per unit, simplified for demonstration).</w:t>
      </w:r>
    </w:p>
    <w:bookmarkEnd w:id="30"/>
    <w:bookmarkStart w:id="31" w:name="use-phase-data"/>
    <w:p>
      <w:pPr>
        <w:pStyle w:val="Heading3"/>
      </w:pPr>
      <w:r>
        <w:t xml:space="preserve">Use Phase Data:</w:t>
      </w:r>
    </w:p>
    <w:p>
      <w:pPr>
        <w:numPr>
          <w:ilvl w:val="0"/>
          <w:numId w:val="1004"/>
        </w:numPr>
        <w:pStyle w:val="Compact"/>
      </w:pPr>
      <w:r>
        <w:rPr>
          <w:bCs/>
          <w:b/>
        </w:rPr>
        <w:t xml:space="preserve">Product Lifespan:</w:t>
      </w:r>
      <w:r>
        <w:t xml:space="preserve"> </w:t>
      </w:r>
      <w:r>
        <w:rPr>
          <w:bCs/>
          <w:b/>
        </w:rPr>
        <w:t xml:space="preserve">ooieifpqxh</w:t>
      </w:r>
      <w:r>
        <w:t xml:space="preserve"> </w:t>
      </w:r>
      <w:r>
        <w:t xml:space="preserve">(Illustrative: 5 years).</w:t>
      </w:r>
    </w:p>
    <w:p>
      <w:pPr>
        <w:numPr>
          <w:ilvl w:val="0"/>
          <w:numId w:val="1004"/>
        </w:numPr>
        <w:pStyle w:val="Compact"/>
      </w:pPr>
      <w:r>
        <w:rPr>
          <w:bCs/>
          <w:b/>
        </w:rPr>
        <w:t xml:space="preserve">Energy Consumption in Use:</w:t>
      </w:r>
      <w:r>
        <w:t xml:space="preserve"> </w:t>
      </w:r>
      <w:r>
        <w:rPr>
          <w:bCs/>
          <w:b/>
        </w:rPr>
        <w:t xml:space="preserve">nirswgjnqz</w:t>
      </w:r>
      <w:r>
        <w:t xml:space="preserve"> </w:t>
      </w:r>
      <w:r>
        <w:t xml:space="preserve">(Illustrative: 20 kWh/year).</w:t>
      </w:r>
    </w:p>
    <w:p>
      <w:pPr>
        <w:numPr>
          <w:ilvl w:val="0"/>
          <w:numId w:val="1004"/>
        </w:numPr>
        <w:pStyle w:val="Compact"/>
      </w:pPr>
      <w:r>
        <w:rPr>
          <w:bCs/>
          <w:b/>
        </w:rPr>
        <w:t xml:space="preserve">Electricity Grid Mix Emission Factor (End-user location, assumed Europe focused):</w:t>
      </w:r>
      <w:r>
        <w:t xml:space="preserve"> </w:t>
      </w:r>
      <w:r>
        <w:t xml:space="preserve">~0.2 kg CO2e/kWh (European average).</w:t>
      </w:r>
    </w:p>
    <w:bookmarkEnd w:id="31"/>
    <w:bookmarkStart w:id="32"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rPr>
          <w:bCs/>
          <w:b/>
        </w:rPr>
        <w:t xml:space="preserve">mjxooqjhkx</w:t>
      </w:r>
      <w:r>
        <w:t xml:space="preserve"> </w:t>
      </w:r>
      <w:r>
        <w:t xml:space="preserve">(Illustrative: 70%).</w:t>
      </w:r>
    </w:p>
    <w:p>
      <w:pPr>
        <w:numPr>
          <w:ilvl w:val="0"/>
          <w:numId w:val="1005"/>
        </w:numPr>
        <w:pStyle w:val="Compact"/>
      </w:pPr>
      <w:r>
        <w:rPr>
          <w:bCs/>
          <w:b/>
        </w:rPr>
        <w:t xml:space="preserve">Circular/Take-back Programs:</w:t>
      </w:r>
      <w:r>
        <w:t xml:space="preserve"> </w:t>
      </w:r>
      <w:r>
        <w:rPr>
          <w:bCs/>
          <w:b/>
        </w:rPr>
        <w:t xml:space="preserve">udgeuxswdg</w:t>
      </w:r>
      <w:r>
        <w:t xml:space="preserve"> </w:t>
      </w:r>
      <w:r>
        <w:t xml:space="preserve">(Illustrative: Yes, indicating higher collection rates and successful recycling pathways).</w:t>
      </w:r>
    </w:p>
    <w:p>
      <w:pPr>
        <w:numPr>
          <w:ilvl w:val="0"/>
          <w:numId w:val="1005"/>
        </w:numPr>
        <w:pStyle w:val="Compact"/>
      </w:pPr>
      <w:r>
        <w:rPr>
          <w:bCs/>
          <w:b/>
        </w:rPr>
        <w:t xml:space="preserve">Total Product Weight (from illustrative BOM):</w:t>
      </w:r>
      <w:r>
        <w:t xml:space="preserve"> </w:t>
      </w:r>
      <w:r>
        <w:t xml:space="preserve">~0.9 kg.</w:t>
      </w:r>
    </w:p>
    <w:p>
      <w:pPr>
        <w:numPr>
          <w:ilvl w:val="0"/>
          <w:numId w:val="1005"/>
        </w:numPr>
        <w:pStyle w:val="Compact"/>
      </w:pPr>
      <w:r>
        <w:rPr>
          <w:bCs/>
          <w:b/>
        </w:rPr>
        <w:t xml:space="preserve">EoL Burden (Non-recycled portion):</w:t>
      </w:r>
      <w:r>
        <w:t xml:space="preserve"> </w:t>
      </w:r>
      <w:r>
        <w:t xml:space="preserve">Illustrative 1.5 kg CO2e/kg for mixed waste disposal (landfill/incineration).</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 Scopes. Industry-standard emission factors (e.g., from Ecoinvent/DEFRA equivalents) are used for these calculations. All calculations use the illustrative data points defined in Section 3.</w:t>
      </w:r>
    </w:p>
    <w:bookmarkStart w:id="34" w:name="total-product-mass-illustrative"/>
    <w:p>
      <w:pPr>
        <w:pStyle w:val="Heading3"/>
      </w:pPr>
      <w:r>
        <w:t xml:space="preserve">Total Product Mass (Illustrative):</w:t>
      </w:r>
    </w:p>
    <w:p>
      <w:pPr>
        <w:pStyle w:val="FirstParagraph"/>
      </w:pPr>
      <w:r>
        <w:t xml:space="preserve">Based on the illustrative BOM: 0.5 kg (Plastic) + 0.2 kg (Metal) + 0.1 kg (Electronics) + 0.1 kg (Packaging) = 0.9 kg.</w:t>
      </w:r>
    </w:p>
    <w:bookmarkEnd w:id="34"/>
    <w:bookmarkStart w:id="35" w:name="Xff31e690bfe279af69cf88b9219fe5d56042afb"/>
    <w:p>
      <w:pPr>
        <w:pStyle w:val="Heading3"/>
      </w:pPr>
      <w:r>
        <w:t xml:space="preserve">4.1. Raw Material Acquisition &amp; Pre-processing (Scope 3 - Upstream)</w:t>
      </w:r>
    </w:p>
    <w:p>
      <w:pPr>
        <w:pStyle w:val="FirstParagraph"/>
      </w:pPr>
      <w:r>
        <w:t xml:space="preserve">Emissions from materials are directly calculated from the illustrative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Metal Components</w:t>
            </w:r>
          </w:p>
        </w:tc>
        <w:tc>
          <w:tcPr/>
          <w:p>
            <w:pPr>
              <w:pStyle w:val="Compact"/>
              <w:jc w:val="left"/>
            </w:pPr>
            <w:r>
              <w:t xml:space="preserve">0.2</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Electronic Circuitry</w:t>
            </w:r>
          </w:p>
        </w:tc>
        <w:tc>
          <w:tcPr/>
          <w:p>
            <w:pPr>
              <w:pStyle w:val="Compact"/>
              <w:jc w:val="left"/>
            </w:pPr>
            <w:r>
              <w:t xml:space="preserve">0.1</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0.50</w:t>
            </w:r>
          </w:p>
        </w:tc>
        <w:tc>
          <w:tcPr/>
          <w:p>
            <w:pPr>
              <w:pStyle w:val="Compact"/>
              <w:jc w:val="left"/>
            </w:pPr>
            <w:r>
              <w:t xml:space="preserve">0.05</w:t>
            </w:r>
          </w:p>
        </w:tc>
      </w:tr>
      <w:tr>
        <w:tc>
          <w:tcPr>
            <w:gridSpan w:val="3"/>
          </w:tcPr>
          <w:p>
            <w:pPr>
              <w:pStyle w:val="Compact"/>
              <w:jc w:val="left"/>
            </w:pPr>
            <w:r>
              <w:t xml:space="preserve">Subtotal Raw Materials (Illustrative)</w:t>
            </w:r>
          </w:p>
        </w:tc>
        <w:tc>
          <w:tcPr/>
          <w:p>
            <w:pPr>
              <w:pStyle w:val="Compact"/>
              <w:jc w:val="left"/>
            </w:pPr>
            <w:r>
              <w:t xml:space="preserve">4.40 kg CO2e</w:t>
            </w:r>
          </w:p>
        </w:tc>
      </w:tr>
    </w:tbl>
    <w:bookmarkEnd w:id="35"/>
    <w:bookmarkStart w:id="36" w:name="manufacturing-production-scope-1-2"/>
    <w:p>
      <w:pPr>
        <w:pStyle w:val="Heading3"/>
      </w:pPr>
      <w:r>
        <w:t xml:space="preserve">4.2. Manufacturing &amp; Production (Scope 1 &amp; 2)</w:t>
      </w:r>
    </w:p>
    <w:p>
      <w:pPr>
        <w:pStyle w:val="FirstParagraph"/>
      </w:pPr>
      <w:r>
        <w:rPr>
          <w:bCs/>
          <w:b/>
        </w:rPr>
        <w:t xml:space="preserve">Scope 1 (Direct Emissions):</w:t>
      </w:r>
      <w:r>
        <w:t xml:space="preserve"> </w:t>
      </w:r>
      <w:r>
        <w:t xml:space="preserve">Assume negligible direct process emissions for fhkgftkszn\'s final assembly (e.g., no on-site fuel combustion for production). In a real scenario, this would include direct fuel consumption, fugitive emissions, etc.</w:t>
      </w:r>
    </w:p>
    <w:p>
      <w:pPr>
        <w:pStyle w:val="BodyText"/>
      </w:pPr>
      <w:r>
        <w:rPr>
          <w:bCs/>
          <w:b/>
        </w:rPr>
        <w:t xml:space="preserve">Scope 2 (Purchased Energy Emissions):</w:t>
      </w:r>
      <w:r>
        <w:t xml:space="preserve"> </w:t>
      </w:r>
      <w:r>
        <w:t xml:space="preserve">These arise from the electricity consumed in the Chinese factory.</w:t>
      </w:r>
    </w:p>
    <w:p>
      <w:pPr>
        <w:numPr>
          <w:ilvl w:val="0"/>
          <w:numId w:val="1006"/>
        </w:numPr>
        <w:pStyle w:val="Compact"/>
      </w:pPr>
      <w:r>
        <w:t xml:space="preserve">Energy Intensity: 10 kWh/unit</w:t>
      </w:r>
    </w:p>
    <w:p>
      <w:pPr>
        <w:numPr>
          <w:ilvl w:val="0"/>
          <w:numId w:val="1006"/>
        </w:numPr>
        <w:pStyle w:val="Compact"/>
      </w:pPr>
      <w:r>
        <w:t xml:space="preserve">China Grid Mix Emission Factor: 0.6 kg CO2e/kWh</w:t>
      </w:r>
    </w:p>
    <w:p>
      <w:pPr>
        <w:numPr>
          <w:ilvl w:val="0"/>
          <w:numId w:val="1006"/>
        </w:numPr>
        <w:pStyle w:val="Compact"/>
      </w:pPr>
      <w:r>
        <w:t xml:space="preserve">Renewable Energy Usage: 50%</w:t>
      </w:r>
    </w:p>
    <w:p>
      <w:pPr>
        <w:numPr>
          <w:ilvl w:val="0"/>
          <w:numId w:val="1006"/>
        </w:numPr>
        <w:pStyle w:val="Compact"/>
      </w:pPr>
      <w:r>
        <w:t xml:space="preserve">Effective Emission Factor: 0.6 kg CO2e/kWh * (1 - 0.50) = 0.3 kg CO2e/kWh (assuming 50% renewables displace grid electricity without associated emissions).</w:t>
      </w:r>
    </w:p>
    <w:p>
      <w:pPr>
        <w:numPr>
          <w:ilvl w:val="0"/>
          <w:numId w:val="1006"/>
        </w:numPr>
        <w:pStyle w:val="Compact"/>
      </w:pPr>
      <w:r>
        <w:t xml:space="preserve">Total Scope 2 Emissions: 10 kWh/unit * 0.3 kg CO2e/kWh =</w:t>
      </w:r>
      <w:r>
        <w:t xml:space="preserve"> </w:t>
      </w:r>
      <w:r>
        <w:rPr>
          <w:bCs/>
          <w:b/>
        </w:rPr>
        <w:t xml:space="preserve">3.00 kg CO2e/unit</w:t>
      </w:r>
    </w:p>
    <w:bookmarkEnd w:id="36"/>
    <w:bookmarkStart w:id="39" w:name="Xc78fa9e95fdc5a4841e5055035e97eb6a5c3c11"/>
    <w:p>
      <w:pPr>
        <w:pStyle w:val="Heading3"/>
      </w:pPr>
      <w:r>
        <w:t xml:space="preserve">4.3. Transport &amp; Distribution (Scope 3 - Upstream &amp; Downstream)</w:t>
      </w:r>
    </w:p>
    <w:p>
      <w:pPr>
        <w:pStyle w:val="FirstParagraph"/>
      </w:pPr>
      <w:r>
        <w:t xml:space="preserve">This includes transport of materials to the factory (upstream) and the finished product to the customer (downstream).</w:t>
      </w:r>
    </w:p>
    <w:bookmarkStart w:id="37" w:name="upstream-transport-illustrative"/>
    <w:p>
      <w:pPr>
        <w:pStyle w:val="Heading4"/>
      </w:pPr>
      <w:r>
        <w:t xml:space="preserve">Upstream Transport (Illustrative):</w:t>
      </w:r>
    </w:p>
    <w:p>
      <w:pPr>
        <w:numPr>
          <w:ilvl w:val="0"/>
          <w:numId w:val="1007"/>
        </w:numPr>
        <w:pStyle w:val="Compact"/>
      </w:pPr>
      <w:r>
        <w:t xml:space="preserve">Product Weight: 0.9 kg = 0.0009 tonnes</w:t>
      </w:r>
    </w:p>
    <w:p>
      <w:pPr>
        <w:numPr>
          <w:ilvl w:val="0"/>
          <w:numId w:val="1007"/>
        </w:numPr>
        <w:pStyle w:val="Compact"/>
      </w:pPr>
      <w:r>
        <w:t xml:space="preserve">Transport Distance: 2000 km (average for supply chain focus)</w:t>
      </w:r>
    </w:p>
    <w:p>
      <w:pPr>
        <w:numPr>
          <w:ilvl w:val="0"/>
          <w:numId w:val="1007"/>
        </w:numPr>
        <w:pStyle w:val="Compact"/>
      </w:pPr>
      <w:r>
        <w:t xml:space="preserve">Transport Mode: Road Freight (HGV)</w:t>
      </w:r>
    </w:p>
    <w:p>
      <w:pPr>
        <w:numPr>
          <w:ilvl w:val="0"/>
          <w:numId w:val="1007"/>
        </w:numPr>
        <w:pStyle w:val="Compact"/>
      </w:pPr>
      <w:r>
        <w:t xml:space="preserve">Emission Factor: 0.1 kg CO2e/tkm</w:t>
      </w:r>
    </w:p>
    <w:p>
      <w:pPr>
        <w:numPr>
          <w:ilvl w:val="0"/>
          <w:numId w:val="1007"/>
        </w:numPr>
        <w:pStyle w:val="Compact"/>
      </w:pPr>
      <w:r>
        <w:t xml:space="preserve">Total Upstream Transport: 0.0009 tonnes * 2000 km * 0.1 kg CO2e/tkm =</w:t>
      </w:r>
      <w:r>
        <w:t xml:space="preserve"> </w:t>
      </w:r>
      <w:r>
        <w:rPr>
          <w:bCs/>
          <w:b/>
        </w:rPr>
        <w:t xml:space="preserve">0.18 kg CO2e/unit</w:t>
      </w:r>
    </w:p>
    <w:bookmarkEnd w:id="37"/>
    <w:bookmarkStart w:id="38" w:name="X40a7d5e0795794317b0f43317e0a266b32ef0bf"/>
    <w:p>
      <w:pPr>
        <w:pStyle w:val="Heading4"/>
      </w:pPr>
      <w:r>
        <w:t xml:space="preserve">Downstream Transport (Illustrative - Last-Mile Delivery):</w:t>
      </w:r>
    </w:p>
    <w:p>
      <w:pPr>
        <w:numPr>
          <w:ilvl w:val="0"/>
          <w:numId w:val="1008"/>
        </w:numPr>
        <w:pStyle w:val="Compact"/>
      </w:pPr>
      <w:r>
        <w:t xml:space="preserve">Last-Mile Delivery Channel: Van Delivery</w:t>
      </w:r>
    </w:p>
    <w:p>
      <w:pPr>
        <w:numPr>
          <w:ilvl w:val="0"/>
          <w:numId w:val="1008"/>
        </w:numPr>
        <w:pStyle w:val="Compact"/>
      </w:pPr>
      <w:r>
        <w:t xml:space="preserve">Delivery Distance: 50 km (per unit, simplified)</w:t>
      </w:r>
    </w:p>
    <w:p>
      <w:pPr>
        <w:numPr>
          <w:ilvl w:val="0"/>
          <w:numId w:val="1008"/>
        </w:numPr>
        <w:pStyle w:val="Compact"/>
      </w:pPr>
      <w:r>
        <w:t xml:space="preserve">Emission Factor: 0.2 kg CO2e/km</w:t>
      </w:r>
    </w:p>
    <w:p>
      <w:pPr>
        <w:numPr>
          <w:ilvl w:val="0"/>
          <w:numId w:val="1008"/>
        </w:numPr>
        <w:pStyle w:val="Compact"/>
      </w:pPr>
      <w:r>
        <w:t xml:space="preserve">Total Downstream Transport: 1 unit * 50 km * 0.2 kg CO2e/km =</w:t>
      </w:r>
      <w:r>
        <w:t xml:space="preserve"> </w:t>
      </w:r>
      <w:r>
        <w:rPr>
          <w:bCs/>
          <w:b/>
        </w:rPr>
        <w:t xml:space="preserve">1.00 kg CO2e/unit</w:t>
      </w:r>
    </w:p>
    <w:p>
      <w:pPr>
        <w:pStyle w:val="FirstParagraph"/>
      </w:pPr>
      <w:r>
        <w:rPr>
          <w:bCs/>
          <w:b/>
        </w:rPr>
        <w:t xml:space="preserve">Subtotal Transport (Illustrative):</w:t>
      </w:r>
      <w:r>
        <w:t xml:space="preserve"> </w:t>
      </w:r>
      <w:r>
        <w:t xml:space="preserve">0.18 + 1.00 =</w:t>
      </w:r>
      <w:r>
        <w:t xml:space="preserve"> </w:t>
      </w:r>
      <w:r>
        <w:rPr>
          <w:bCs/>
          <w:b/>
        </w:rPr>
        <w:t xml:space="preserve">1.18 kg CO2e/unit</w:t>
      </w:r>
    </w:p>
    <w:bookmarkEnd w:id="38"/>
    <w:bookmarkEnd w:id="39"/>
    <w:bookmarkStart w:id="40" w:name="use-phase-scope-3---downstream"/>
    <w:p>
      <w:pPr>
        <w:pStyle w:val="Heading3"/>
      </w:pPr>
      <w:r>
        <w:t xml:space="preserve">4.4. Use Phase (Scope 3 - Downstream)</w:t>
      </w:r>
    </w:p>
    <w:p>
      <w:pPr>
        <w:pStyle w:val="FirstParagraph"/>
      </w:pPr>
      <w:r>
        <w:t xml:space="preserve">Emissions from energy consumption during the product\'s lifespan.</w:t>
      </w:r>
    </w:p>
    <w:p>
      <w:pPr>
        <w:numPr>
          <w:ilvl w:val="0"/>
          <w:numId w:val="1009"/>
        </w:numPr>
        <w:pStyle w:val="Compact"/>
      </w:pPr>
      <w:r>
        <w:t xml:space="preserve">Product Lifespan: 5 years</w:t>
      </w:r>
    </w:p>
    <w:p>
      <w:pPr>
        <w:numPr>
          <w:ilvl w:val="0"/>
          <w:numId w:val="1009"/>
        </w:numPr>
        <w:pStyle w:val="Compact"/>
      </w:pPr>
      <w:r>
        <w:t xml:space="preserve">Energy Consumption in Use: 20 kWh/year</w:t>
      </w:r>
    </w:p>
    <w:p>
      <w:pPr>
        <w:numPr>
          <w:ilvl w:val="0"/>
          <w:numId w:val="1009"/>
        </w:numPr>
        <w:pStyle w:val="Compact"/>
      </w:pPr>
      <w:r>
        <w:t xml:space="preserve">Total Energy Consumption over lifespan: 20 kWh/year * 5 years = 100 kWh</w:t>
      </w:r>
    </w:p>
    <w:p>
      <w:pPr>
        <w:numPr>
          <w:ilvl w:val="0"/>
          <w:numId w:val="1009"/>
        </w:numPr>
        <w:pStyle w:val="Compact"/>
      </w:pPr>
      <w:r>
        <w:t xml:space="preserve">Electricity Grid Mix Emission Factor (European average for end-user): 0.2 kg CO2e/kWh</w:t>
      </w:r>
    </w:p>
    <w:p>
      <w:pPr>
        <w:numPr>
          <w:ilvl w:val="0"/>
          <w:numId w:val="1009"/>
        </w:numPr>
        <w:pStyle w:val="Compact"/>
      </w:pPr>
      <w:r>
        <w:t xml:space="preserve">Total Use Phase Emissions: 100 kWh * 0.2 kg CO2e/kWh =</w:t>
      </w:r>
      <w:r>
        <w:t xml:space="preserve"> </w:t>
      </w:r>
      <w:r>
        <w:rPr>
          <w:bCs/>
          <w:b/>
        </w:rPr>
        <w:t xml:space="preserve">20.00 kg CO2e/unit</w:t>
      </w:r>
    </w:p>
    <w:bookmarkEnd w:id="40"/>
    <w:bookmarkStart w:id="41" w:name="end-of-life-eol-scope-3---downstream"/>
    <w:p>
      <w:pPr>
        <w:pStyle w:val="Heading3"/>
      </w:pPr>
      <w:r>
        <w:t xml:space="preserve">4.5. End-of-Life (EoL) (Scope 3 - Downstream)</w:t>
      </w:r>
    </w:p>
    <w:p>
      <w:pPr>
        <w:pStyle w:val="FirstParagraph"/>
      </w:pPr>
      <w:r>
        <w:t xml:space="preserve">Emissions and potential credits associated with disposal and recycling.</w:t>
      </w:r>
    </w:p>
    <w:p>
      <w:pPr>
        <w:numPr>
          <w:ilvl w:val="0"/>
          <w:numId w:val="1010"/>
        </w:numPr>
        <w:pStyle w:val="Compact"/>
      </w:pPr>
      <w:r>
        <w:t xml:space="preserve">Total Product Weight: 0.9 kg</w:t>
      </w:r>
    </w:p>
    <w:p>
      <w:pPr>
        <w:numPr>
          <w:ilvl w:val="0"/>
          <w:numId w:val="1010"/>
        </w:numPr>
        <w:pStyle w:val="Compact"/>
      </w:pPr>
      <w:r>
        <w:t xml:space="preserve">Recyclability Percentage: 70%</w:t>
      </w:r>
    </w:p>
    <w:p>
      <w:pPr>
        <w:numPr>
          <w:ilvl w:val="0"/>
          <w:numId w:val="1010"/>
        </w:numPr>
        <w:pStyle w:val="Compact"/>
      </w:pPr>
      <w:r>
        <w:t xml:space="preserve">Weight Recycled: 0.9 kg * 0.70 = 0.63 kg (assumed to have avoided emissions or neutral impact for this calculation).</w:t>
      </w:r>
    </w:p>
    <w:p>
      <w:pPr>
        <w:numPr>
          <w:ilvl w:val="0"/>
          <w:numId w:val="1010"/>
        </w:numPr>
        <w:pStyle w:val="Compact"/>
      </w:pPr>
      <w:r>
        <w:t xml:space="preserve">Weight to Landfill/Incineration: 0.9 kg * 0.30 = 0.27 kg</w:t>
      </w:r>
    </w:p>
    <w:p>
      <w:pPr>
        <w:numPr>
          <w:ilvl w:val="0"/>
          <w:numId w:val="1010"/>
        </w:numPr>
        <w:pStyle w:val="Compact"/>
      </w:pPr>
      <w:r>
        <w:t xml:space="preserve">EoL Burden (non-recycled): 0.27 kg * 1.5 kg CO2e/kg =</w:t>
      </w:r>
      <w:r>
        <w:t xml:space="preserve"> </w:t>
      </w:r>
      <w:r>
        <w:rPr>
          <w:bCs/>
          <w:b/>
        </w:rPr>
        <w:t xml:space="preserve">0.41 kg CO2e/unit</w:t>
      </w:r>
    </w:p>
    <w:p>
      <w:pPr>
        <w:numPr>
          <w:ilvl w:val="0"/>
          <w:numId w:val="1010"/>
        </w:numPr>
        <w:pStyle w:val="Compact"/>
      </w:pPr>
      <w:r>
        <w:t xml:space="preserve">Circular/Take-back Programs (`udgeuxswdg`) would enhance this by ensuring higher actual recycling rates and efficient material recovery, potentially leading to lower net EoL emissions or even credits.</w:t>
      </w:r>
    </w:p>
    <w:bookmarkEnd w:id="41"/>
    <w:bookmarkStart w:id="42" w:name="X4c8b5ec794918692eba48fdbb0997ad4ecd5832"/>
    <w:p>
      <w:pPr>
        <w:pStyle w:val="Heading3"/>
      </w:pPr>
      <w:r>
        <w:t xml:space="preserve">4.6. Summary of Emissions by Lifecycle Stage &amp; GHG Scope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4.40</w:t>
            </w:r>
          </w:p>
        </w:tc>
      </w:tr>
      <w:tr>
        <w:tc>
          <w:tcPr/>
          <w:p>
            <w:pPr>
              <w:pStyle w:val="Compact"/>
              <w:jc w:val="left"/>
            </w:pPr>
            <w:r>
              <w:t xml:space="preserve">Manufacturing &amp; Production</w:t>
            </w:r>
          </w:p>
        </w:tc>
        <w:tc>
          <w:tcPr/>
          <w:p>
            <w:pPr>
              <w:pStyle w:val="Compact"/>
              <w:jc w:val="left"/>
            </w:pPr>
            <w:r>
              <w:t xml:space="preserve">Scope 2 (Purchased Electricity)</w:t>
            </w:r>
          </w:p>
        </w:tc>
        <w:tc>
          <w:tcPr/>
          <w:p>
            <w:pPr>
              <w:pStyle w:val="Compact"/>
              <w:jc w:val="left"/>
            </w:pPr>
            <w:r>
              <w:t xml:space="preserve">3.00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0.18</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w:t>
            </w:r>
          </w:p>
        </w:tc>
      </w:tr>
      <w:tr>
        <w:tc>
          <w:tcPr>
            <w:gridSpan w:val="2"/>
          </w:tcPr>
          <w:p>
            <w:pPr>
              <w:pStyle w:val="Compact"/>
              <w:jc w:val="left"/>
            </w:pPr>
            <w:r>
              <w:t xml:space="preserve">Total Product Carbon Footprint (Illustrative)</w:t>
            </w:r>
          </w:p>
        </w:tc>
        <w:tc>
          <w:tcPr/>
          <w:p>
            <w:pPr>
              <w:pStyle w:val="Compact"/>
              <w:jc w:val="left"/>
            </w:pPr>
            <w:r>
              <w:t xml:space="preserve">28.99 kg CO2e/unit</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illustrative analysis, the primary emission hotspots for fhkgftkszn are:</w:t>
      </w:r>
    </w:p>
    <w:p>
      <w:pPr>
        <w:numPr>
          <w:ilvl w:val="0"/>
          <w:numId w:val="1011"/>
        </w:numPr>
        <w:pStyle w:val="Compact"/>
      </w:pPr>
      <w:r>
        <w:rPr>
          <w:bCs/>
          <w:b/>
        </w:rPr>
        <w:t xml:space="preserve">Use Phase (20.00 kg CO2e):</w:t>
      </w:r>
      <w:r>
        <w:t xml:space="preserve"> </w:t>
      </w:r>
      <w:r>
        <w:t xml:space="preserve">This is by far the largest contributor, accounting for approximately 69% of the total PCF. This highlights the critical importance of energy efficiency during product operation.</w:t>
      </w:r>
    </w:p>
    <w:p>
      <w:pPr>
        <w:numPr>
          <w:ilvl w:val="0"/>
          <w:numId w:val="1011"/>
        </w:numPr>
        <w:pStyle w:val="Compact"/>
      </w:pPr>
      <w:r>
        <w:rPr>
          <w:bCs/>
          <w:b/>
        </w:rPr>
        <w:t xml:space="preserve">Raw Material Acquisition &amp; Pre-processing (4.40 kg CO2e):</w:t>
      </w:r>
      <w:r>
        <w:t xml:space="preserve"> </w:t>
      </w:r>
      <w:r>
        <w:t xml:space="preserve">Materials contribute significantly, especially high-impact components like metals and electronics, representing about 15% of the total.</w:t>
      </w:r>
    </w:p>
    <w:p>
      <w:pPr>
        <w:numPr>
          <w:ilvl w:val="0"/>
          <w:numId w:val="1011"/>
        </w:numPr>
        <w:pStyle w:val="Compact"/>
      </w:pPr>
      <w:r>
        <w:rPr>
          <w:bCs/>
          <w:b/>
        </w:rPr>
        <w:t xml:space="preserve">Manufacturing (Scope 2) (3.00 kg CO2e):</w:t>
      </w:r>
      <w:r>
        <w:t xml:space="preserve"> </w:t>
      </w:r>
      <w:r>
        <w:t xml:space="preserve">Purchased electricity for production is another key area, contributing around 10%. The use of renewable energy is already mitigating this, but further decarbonization is crucial.</w:t>
      </w:r>
    </w:p>
    <w:bookmarkEnd w:id="44"/>
    <w:bookmarkStart w:id="45" w:name="data-reliability-and-limitations"/>
    <w:p>
      <w:pPr>
        <w:pStyle w:val="Heading3"/>
      </w:pPr>
      <w:r>
        <w:t xml:space="preserve">5.2. Data Reliability and Limitations</w:t>
      </w:r>
    </w:p>
    <w:p>
      <w:pPr>
        <w:pStyle w:val="FirstParagraph"/>
      </w:pPr>
      <w:r>
        <w:t xml:space="preserve">The reliability of this PCF is contingent on the accuracy and completeness of the input data. As many of the key parameters (`omherwni`, `Select Mode`, `jlnvkndfvg`, `stqfippkkj`, `lxkioovyew`, `ooieifpqxh`, `nirswgjnqz`, `mjxooqjhkx`, `udgeuxswdg`) were provided as placeholders, the calculations performed are illustrative. A live assessment would require:</w:t>
      </w:r>
    </w:p>
    <w:p>
      <w:pPr>
        <w:numPr>
          <w:ilvl w:val="0"/>
          <w:numId w:val="1012"/>
        </w:numPr>
        <w:pStyle w:val="Compact"/>
      </w:pPr>
      <w:r>
        <w:t xml:space="preserve">Primary data collection directly from suppliers and internal operations for exact material quantities, energy consumption, and transport specifics.</w:t>
      </w:r>
    </w:p>
    <w:p>
      <w:pPr>
        <w:numPr>
          <w:ilvl w:val="0"/>
          <w:numId w:val="1012"/>
        </w:numPr>
        <w:pStyle w:val="Compact"/>
      </w:pPr>
      <w:r>
        <w:t xml:space="preserve">Precise, geographically-specific and up-to-date emission factors from robust LCI databases (e.g., Ecoinvent, GaBi, DEFRA) for all materials and processes.</w:t>
      </w:r>
    </w:p>
    <w:p>
      <w:pPr>
        <w:numPr>
          <w:ilvl w:val="0"/>
          <w:numId w:val="1012"/>
        </w:numPr>
        <w:pStyle w:val="Compact"/>
      </w:pPr>
      <w:r>
        <w:t xml:space="preserve">Detailed modeling of transport routes, modes, and load factors.</w:t>
      </w:r>
    </w:p>
    <w:p>
      <w:pPr>
        <w:numPr>
          <w:ilvl w:val="0"/>
          <w:numId w:val="1012"/>
        </w:numPr>
        <w:pStyle w:val="Compact"/>
      </w:pPr>
      <w:r>
        <w:t xml:space="preserve">Specific energy mix data for the end-user region in the use phase.</w:t>
      </w:r>
    </w:p>
    <w:p>
      <w:pPr>
        <w:pStyle w:val="FirstParagraph"/>
      </w:pPr>
      <w:r>
        <w:t xml:space="preserve">The 95% Scope 3 coverage target would be achieved through diligent data collection across all 15 Scope 3 categories and robust estimation for any remaining minor categories.</w:t>
      </w:r>
    </w:p>
    <w:bookmarkEnd w:id="45"/>
    <w:bookmarkStart w:id="46" w:name="recommendations-for-emission-reduction"/>
    <w:p>
      <w:pPr>
        <w:pStyle w:val="Heading3"/>
      </w:pPr>
      <w:r>
        <w:t xml:space="preserve">5.3. Recommendations for Emission Reduction</w:t>
      </w:r>
    </w:p>
    <w:p>
      <w:pPr>
        <w:pStyle w:val="FirstParagraph"/>
      </w:pPr>
      <w:r>
        <w:t xml:space="preserve">Based on the identified hotspots, the following recommendations are provided:</w:t>
      </w:r>
    </w:p>
    <w:p>
      <w:pPr>
        <w:numPr>
          <w:ilvl w:val="0"/>
          <w:numId w:val="1013"/>
        </w:numPr>
        <w:pStyle w:val="Compact"/>
      </w:pPr>
      <w:r>
        <w:rPr>
          <w:bCs/>
          <w:b/>
        </w:rPr>
        <w:t xml:space="preserve">Optimize Use Phase Efficiency:</w:t>
      </w:r>
      <w:r>
        <w:t xml:space="preserve"> </w:t>
      </w:r>
      <w:r>
        <w:t xml:space="preserve">Focus on designing fhkgftkszn for ultra-low energy consumption during its operation. This could involve more energy-efficient components, smart power management features, and educating users on energy-saving practices.</w:t>
      </w:r>
    </w:p>
    <w:p>
      <w:pPr>
        <w:numPr>
          <w:ilvl w:val="0"/>
          <w:numId w:val="1013"/>
        </w:numPr>
        <w:pStyle w:val="Compact"/>
      </w:pPr>
      <w:r>
        <w:rPr>
          <w:bCs/>
          <w:b/>
        </w:rPr>
        <w:t xml:space="preserve">Material Decarbonization:</w:t>
      </w:r>
      <w:r>
        <w:t xml:space="preserve"> </w:t>
      </w:r>
      <w:r>
        <w:t xml:space="preserve">Explore alternative materials with lower embodied carbon, increase the use of recycled content, and work with suppliers to reduce the footprint of existing materials.</w:t>
      </w:r>
    </w:p>
    <w:p>
      <w:pPr>
        <w:numPr>
          <w:ilvl w:val="0"/>
          <w:numId w:val="1013"/>
        </w:numPr>
        <w:pStyle w:val="Compact"/>
      </w:pPr>
      <w:r>
        <w:rPr>
          <w:bCs/>
          <w:b/>
        </w:rPr>
        <w:t xml:space="preserve">Renewable Energy in Production:</w:t>
      </w:r>
      <w:r>
        <w:t xml:space="preserve"> </w:t>
      </w:r>
      <w:r>
        <w:t xml:space="preserve">Continue and expand the use of renewable energy in manufacturing facilities. Invest in on-site renewables or procure 100% renewable electricity.</w:t>
      </w:r>
    </w:p>
    <w:p>
      <w:pPr>
        <w:numPr>
          <w:ilvl w:val="0"/>
          <w:numId w:val="1013"/>
        </w:numPr>
        <w:pStyle w:val="Compact"/>
      </w:pPr>
      <w:r>
        <w:rPr>
          <w:bCs/>
          <w:b/>
        </w:rPr>
        <w:t xml:space="preserve">Logistics Optimization:</w:t>
      </w:r>
      <w:r>
        <w:t xml:space="preserve"> </w:t>
      </w:r>
      <w:r>
        <w:t xml:space="preserve">Investigate more efficient transport modes (e.g., rail or sea over long distances), optimize routes, and consolidate shipments to reduce fuel consumption.</w:t>
      </w:r>
    </w:p>
    <w:p>
      <w:pPr>
        <w:numPr>
          <w:ilvl w:val="0"/>
          <w:numId w:val="1013"/>
        </w:numPr>
        <w:pStyle w:val="Compact"/>
      </w:pPr>
      <w:r>
        <w:rPr>
          <w:bCs/>
          <w:b/>
        </w:rPr>
        <w:t xml:space="preserve">Enhance Circularity:</w:t>
      </w:r>
      <w:r>
        <w:t xml:space="preserve"> </w:t>
      </w:r>
      <w:r>
        <w:t xml:space="preserve">Leverage the high recyclability (`mjxooqjhkx`) and existing circular programs (`udgeuxswdg`) by ensuring robust collection, sorting, and recycling infrastructure to maximize material recovery and minimize EoL burden. Design for disassembly and repairability to extend product lifespan.</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fhkgftkszn</dc:title>
  <dc:creator/>
  <dc:description>Detailed Product Carbon Footprint (PCF) analysis for fhkgftkszn, adhering to GHG Protocol and 2026 LSR Update, conducted by Senior Sustainability Consultant ykrwzzlqej for uqhlqftytt.</dc:description>
  <dc:language>en</dc:language>
  <cp:keywords/>
  <dcterms:created xsi:type="dcterms:W3CDTF">2026-07-15T04:33:23Z</dcterms:created>
  <dcterms:modified xsi:type="dcterms:W3CDTF">2026-07-15T04:33:23Z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