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fhiorvyzno</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fhiorvyzno"/>
    <w:p>
      <w:pPr>
        <w:pStyle w:val="Heading2"/>
      </w:pPr>
      <w:r>
        <w:t xml:space="preserve">Product: fhiorvyzno</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fwnidqvets</w:t>
      </w:r>
    </w:p>
    <w:p>
      <w:pPr>
        <w:pStyle w:val="BodyText"/>
      </w:pPr>
      <w:r>
        <w:rPr>
          <w:bCs/>
          <w:b/>
        </w:rPr>
        <w:t xml:space="preserve">Senior Sustainability Consultant:</w:t>
      </w:r>
      <w:r>
        <w:t xml:space="preserve"> </w:t>
      </w:r>
      <w:r>
        <w:t xml:space="preserve">rttxydnhtm</w:t>
      </w:r>
    </w:p>
    <w:p>
      <w:pPr>
        <w:pStyle w:val="BodyText"/>
      </w:pPr>
      <w:r>
        <w:t xml:space="preserve">This report is generated based on available data and industry standards. Due to the placeholder nature of some input parameters (e.g., \'txedfmpw\' for BOM, \'ifskgulsst\' for distance), illustrative values and assumptions have been used for detailed calculations where specific data was not provided in a parseable format.</w:t>
      </w:r>
    </w:p>
    <w:bookmarkEnd w:id="20"/>
    <w:bookmarkEnd w:id="21"/>
    <w:bookmarkStart w:id="38" w:name="Xf27f333f0f9aac454defa530835ca1c1f039e9d"/>
    <w:p>
      <w:pPr>
        <w:pStyle w:val="Heading1"/>
      </w:pPr>
      <w:r>
        <w:t xml:space="preserve">Product Carbon Footprint Analysis Report for fhiorvyzno</w:t>
      </w:r>
    </w:p>
    <w:p>
      <w:pPr>
        <w:pStyle w:val="FirstParagraph"/>
      </w:pPr>
      <w:r>
        <w:rPr>
          <w:bCs/>
          <w:b/>
        </w:rPr>
        <w:t xml:space="preserve">Generated Date:</w:t>
      </w:r>
      <w:r>
        <w:t xml:space="preserve"> </w:t>
      </w:r>
      <w:r>
        <w:t xml:space="preserve">May 20,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fhiorvyzno, manufactured by fwnidqvets. The analysis, conducted by Senior Sustainability Consultant rttxydnhtm, adheres strictly to the GHG Protocol and incorporates the latest 2026 Land Sector and Removals (LSR) Standard update. The primary objective is to quantify the greenhouse gas emissions associated with fhiorvyzno across its lifecycle, identify key emission hotspots, and provide a foundation for targeted sustainability improvements. This comprehensive assessment aims to provide fwnidqvets with actionable insights for reducing its environmental impact and achieving greater transparency in its sustainability reporting. Due to the placeholder nature of some input parameters, illustrative data has been used for specific calculations, with assumptions clearly stated.</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scope of this Product Carbon Footprint (PCF) analysis for fhiorvyzno is defined as follows, in accordance with the GHG Protocol Product Standard.</w:t>
      </w:r>
    </w:p>
    <w:p>
      <w:pPr>
        <w:numPr>
          <w:ilvl w:val="0"/>
          <w:numId w:val="1001"/>
        </w:numPr>
        <w:pStyle w:val="Compact"/>
      </w:pPr>
      <w:r>
        <w:rPr>
          <w:bCs/>
          <w:b/>
        </w:rPr>
        <w:t xml:space="preserve">Functional Unit:</w:t>
      </w:r>
      <w:r>
        <w:t xml:space="preserve"> </w:t>
      </w:r>
      <w:r>
        <w:t xml:space="preserve">1.0 unit of fhiorvyzno. This represents the quantified performance of the product system and serves as a reference basis for all calculations.</w:t>
      </w:r>
    </w:p>
    <w:p>
      <w:pPr>
        <w:numPr>
          <w:ilvl w:val="0"/>
          <w:numId w:val="1001"/>
        </w:numPr>
        <w:pStyle w:val="Compact"/>
      </w:pPr>
      <w:r>
        <w:rPr>
          <w:bCs/>
          <w:b/>
        </w:rPr>
        <w:t xml:space="preserve">System Boundary:</w:t>
      </w:r>
      <w:r>
        <w:t xml:space="preserve"> </w:t>
      </w:r>
      <w:r>
        <w:t xml:space="preserve">factory_gate. This "cradle-to-gate" boundary includes all emissions from raw material extraction, processing, and manufacturing up to the point the product leaves the factory gate. For a comprehensive analysis, upstream transportation and packaging are included. The report also extends beyond the gate to cover use phase and end-of-life scenarios as requested.</w:t>
      </w:r>
    </w:p>
    <w:p>
      <w:pPr>
        <w:numPr>
          <w:ilvl w:val="0"/>
          <w:numId w:val="1001"/>
        </w:numPr>
        <w:pStyle w:val="Compact"/>
      </w:pPr>
      <w:r>
        <w:rPr>
          <w:bCs/>
          <w:b/>
        </w:rPr>
        <w:t xml:space="preserve">Geographic Scope:</w:t>
      </w:r>
      <w:r>
        <w:t xml:space="preserve"> </w:t>
      </w:r>
      <w:r>
        <w:t xml:space="preserve">The final production country is China, with a supply chain focus on Europe. This informs the selection of regionalized emission factors and transport distances.</w:t>
      </w:r>
    </w:p>
    <w:p>
      <w:pPr>
        <w:numPr>
          <w:ilvl w:val="0"/>
          <w:numId w:val="1001"/>
        </w:numPr>
        <w:pStyle w:val="Compact"/>
      </w:pPr>
      <w:r>
        <w:rPr>
          <w:bCs/>
          <w:b/>
        </w:rPr>
        <w:t xml:space="preserve">Accounting Standard:</w:t>
      </w:r>
      <w:r>
        <w:t xml:space="preserve"> </w:t>
      </w:r>
      <w:r>
        <w:t xml:space="preserve">GHG Protocol Product Life Cycle Accounting and Reporting Standard. This standard provides a robust framework for assessing the full lifecycle greenhouse gas emissions of products. This analysis also applies the principles of the 2026 Land Sector and Removals (LSR) Standard for land use and carbon removals where applicable and explicitly stated.</w:t>
      </w:r>
    </w:p>
    <w:p>
      <w:pPr>
        <w:numPr>
          <w:ilvl w:val="0"/>
          <w:numId w:val="1001"/>
        </w:numPr>
        <w:pStyle w:val="Compact"/>
      </w:pPr>
      <w:r>
        <w:rPr>
          <w:bCs/>
          <w:b/>
        </w:rPr>
        <w:t xml:space="preserve">Allocation:</w:t>
      </w:r>
      <w:r>
        <w:t xml:space="preserve"> </w:t>
      </w:r>
      <w:r>
        <w:t xml:space="preserve">Where co-products or multiple functions exist, allocation methods are based on physical relationships (e.g., mass) or economic value, in line with GHG Protocol guidance.</w:t>
      </w:r>
    </w:p>
    <w:p>
      <w:r>
        <w:pict>
          <v:rect style="width:0;height:1.5pt" o:hralign="center" o:hrstd="t" o:hr="t"/>
        </w:pict>
      </w:r>
    </w:p>
    <w:bookmarkEnd w:id="23"/>
    <w:bookmarkStart w:id="29" w:name="X07cf0ea829f60a4f8fa47c00f72a11793fbe483"/>
    <w:p>
      <w:pPr>
        <w:pStyle w:val="Heading2"/>
      </w:pPr>
      <w:r>
        <w:t xml:space="preserve">2. Lifecycle Mapping (LCI Inventory Stages) &amp; 3. Data Collection</w:t>
      </w:r>
    </w:p>
    <w:p>
      <w:pPr>
        <w:pStyle w:val="FirstParagraph"/>
      </w:pPr>
      <w:r>
        <w:t xml:space="preserve">The lifecycle of fhiorvyzno is mapped into several stages, for which primary and secondary data have been collected or, where specific data was not provided in a parseable format (e.g., `txedfmpw` for BOM, `ifskgulsst` for distance), illustrative data has been generated to demonstrate the calculation methodology. This ensures a high-detail Product Carbon Footprint (PCF) analysis as requested.</w:t>
      </w:r>
    </w:p>
    <w:bookmarkStart w:id="24" w:name="Xbc374b9b819252f363695326adb7c260a28ffa7"/>
    <w:p>
      <w:pPr>
        <w:pStyle w:val="Heading3"/>
      </w:pPr>
      <w:r>
        <w:t xml:space="preserve">Material Acquisition and Pre-processing (Scope 3 - Upstream)</w:t>
      </w:r>
    </w:p>
    <w:p>
      <w:pPr>
        <w:pStyle w:val="FirstParagraph"/>
      </w:pPr>
      <w:r>
        <w:t xml:space="preserve">This stage covers the extraction of raw materials, their processing into intermediate products, and manufacturing of components. The detailed Bill of Materials (BOM) for fhiorvyzno is critical for accurate material impact calculation. As the provided BOM parameter \'txedfmpw\' was a placeholder, illustrative BOM data adhering to the specified format is presented below.</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Illustrative Total Carbon (kg CO2e)</w:t>
            </w:r>
          </w:p>
        </w:tc>
      </w:tr>
      <w:tr>
        <w:tc>
          <w:tcPr/>
          <w:p>
            <w:pPr>
              <w:pStyle w:val="Compact"/>
              <w:jc w:val="left"/>
            </w:pPr>
            <w:r>
              <w:t xml:space="preserve">M001</w:t>
            </w:r>
          </w:p>
        </w:tc>
        <w:tc>
          <w:tcPr/>
          <w:p>
            <w:pPr>
              <w:pStyle w:val="Compact"/>
              <w:jc w:val="left"/>
            </w:pPr>
            <w:r>
              <w:t xml:space="preserve">Recycled Aluminum Alloy</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ABS Plastic (recycled content)</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Lithium-ion Battery Cell</w:t>
            </w:r>
          </w:p>
        </w:tc>
        <w:tc>
          <w:tcPr/>
          <w:p>
            <w:pPr>
              <w:pStyle w:val="Compact"/>
              <w:jc w:val="left"/>
            </w:pPr>
            <w:r>
              <w:t xml:space="preserve">Batteries</w:t>
            </w:r>
          </w:p>
        </w:tc>
        <w:tc>
          <w:tcPr/>
          <w:p>
            <w:pPr>
              <w:pStyle w:val="Compact"/>
              <w:jc w:val="left"/>
            </w:pPr>
            <w:r>
              <w:t xml:space="preserve">Battery Production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M006</w:t>
            </w:r>
          </w:p>
        </w:tc>
        <w:tc>
          <w:tcPr/>
          <w:p>
            <w:pPr>
              <w:pStyle w:val="Compact"/>
              <w:jc w:val="left"/>
            </w:pPr>
            <w:r>
              <w:t xml:space="preserve">Packaging Cardboard (recycled)</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bl>
    <w:p>
      <w:pPr>
        <w:pStyle w:val="BodyText"/>
      </w:pPr>
      <w:r>
        <w:rPr>
          <w:iCs/>
          <w:i/>
        </w:rPr>
        <w:t xml:space="preserve">Note: Emission Factors (EF) for materials are illustrative, based on typical industry averages (e.g., from Ecoinvent/DEFRA type databases) and are subject to variation based on specific supplier data and regional grid mixes.</w:t>
      </w:r>
    </w:p>
    <w:bookmarkEnd w:id="24"/>
    <w:bookmarkStart w:id="25" w:name="manufacturingproduction-scope-1-2"/>
    <w:p>
      <w:pPr>
        <w:pStyle w:val="Heading3"/>
      </w:pPr>
      <w:r>
        <w:t xml:space="preserve">Manufacturing/Production (Scope 1 &amp; 2)</w:t>
      </w:r>
    </w:p>
    <w:p>
      <w:pPr>
        <w:pStyle w:val="FirstParagraph"/>
      </w:pPr>
      <w:r>
        <w:t xml:space="preserve">This stage covers the energy consumption and direct emissions from the final assembly of fhiorvyzno in China.</w:t>
      </w:r>
    </w:p>
    <w:p>
      <w:pPr>
        <w:numPr>
          <w:ilvl w:val="0"/>
          <w:numId w:val="1002"/>
        </w:numPr>
        <w:pStyle w:val="Compact"/>
      </w:pPr>
      <w:r>
        <w:rPr>
          <w:bCs/>
          <w:b/>
        </w:rPr>
        <w:t xml:space="preserve">Renewable Energy Usage:</w:t>
      </w:r>
      <w:r>
        <w:t xml:space="preserve"> </w:t>
      </w:r>
      <w:r>
        <w:t xml:space="preserve">The facility utilizes an illustrative</w:t>
      </w:r>
      <w:r>
        <w:t xml:space="preserve"> </w:t>
      </w:r>
      <w:r>
        <w:rPr>
          <w:bCs/>
          <w:b/>
        </w:rPr>
        <w:t xml:space="preserve">lvyfutkedq%</w:t>
      </w:r>
      <w:r>
        <w:t xml:space="preserve"> </w:t>
      </w:r>
      <w:r>
        <w:t xml:space="preserve">(e.g., 50%) renewable energy. This significantly impacts Scope 2 emissions.</w:t>
      </w:r>
    </w:p>
    <w:p>
      <w:pPr>
        <w:numPr>
          <w:ilvl w:val="0"/>
          <w:numId w:val="1002"/>
        </w:numPr>
        <w:pStyle w:val="Compact"/>
      </w:pPr>
      <w:r>
        <w:rPr>
          <w:bCs/>
          <w:b/>
        </w:rPr>
        <w:t xml:space="preserve">Energy Intensity (kWh/unit):</w:t>
      </w:r>
      <w:r>
        <w:t xml:space="preserve"> </w:t>
      </w:r>
      <w:r>
        <w:t xml:space="preserve">Production consumes an illustrative</w:t>
      </w:r>
      <w:r>
        <w:t xml:space="preserve"> </w:t>
      </w:r>
      <w:r>
        <w:rPr>
          <w:bCs/>
          <w:b/>
        </w:rPr>
        <w:t xml:space="preserve">zgvluiyumr kWh/unit</w:t>
      </w:r>
      <w:r>
        <w:t xml:space="preserve"> </w:t>
      </w:r>
      <w:r>
        <w:t xml:space="preserve">(e.g., 10 kWh/unit) of energy for fhiorvyzno.</w:t>
      </w:r>
    </w:p>
    <w:p>
      <w:pPr>
        <w:numPr>
          <w:ilvl w:val="0"/>
          <w:numId w:val="1002"/>
        </w:numPr>
        <w:pStyle w:val="Compact"/>
      </w:pPr>
      <w:r>
        <w:rPr>
          <w:bCs/>
          <w:b/>
        </w:rPr>
        <w:t xml:space="preserve">Scope 1 Emissions:</w:t>
      </w:r>
      <w:r>
        <w:t xml:space="preserve"> </w:t>
      </w:r>
      <w:r>
        <w:t xml:space="preserve">Direct emissions from on-site fuel combustion for heating or processes. For this analysis, we assume minimal direct combustion, focusing predominantly on purchased electricity for manufacturing.</w:t>
      </w:r>
    </w:p>
    <w:p>
      <w:pPr>
        <w:numPr>
          <w:ilvl w:val="0"/>
          <w:numId w:val="1002"/>
        </w:numPr>
        <w:pStyle w:val="Compact"/>
      </w:pPr>
      <w:r>
        <w:rPr>
          <w:bCs/>
          <w:b/>
        </w:rPr>
        <w:t xml:space="preserve">Scope 2 Emissions:</w:t>
      </w:r>
      <w:r>
        <w:t xml:space="preserve"> </w:t>
      </w:r>
      <w:r>
        <w:t xml:space="preserve">Indirect emissions from purchased electricity. This is calculated by multiplying energy intensity by the grid emission factor, adjusted for renewable energy usage. Assuming a China grid emission factor (e.g., 0.6 kg CO2e/kWh), and 50% renewable energy usage, the effective grid factor becomes 0.3 kg CO2e/kWh.</w:t>
      </w:r>
    </w:p>
    <w:p>
      <w:pPr>
        <w:numPr>
          <w:ilvl w:val="0"/>
          <w:numId w:val="1002"/>
        </w:numPr>
        <w:pStyle w:val="Compact"/>
      </w:pPr>
      <w:r>
        <w:rPr>
          <w:bCs/>
          <w:b/>
        </w:rPr>
        <w:t xml:space="preserve">Electricity Consumption:</w:t>
      </w:r>
      <w:r>
        <w:t xml:space="preserve"> </w:t>
      </w:r>
      <w:r>
        <w:t xml:space="preserve">10 kWh/unit * (1 - 0.50) = 5 kWh/unit from grid.</w:t>
      </w:r>
    </w:p>
    <w:p>
      <w:pPr>
        <w:numPr>
          <w:ilvl w:val="0"/>
          <w:numId w:val="1002"/>
        </w:numPr>
        <w:pStyle w:val="Compact"/>
      </w:pPr>
      <w:r>
        <w:rPr>
          <w:bCs/>
          <w:b/>
        </w:rPr>
        <w:t xml:space="preserve">Scope 2 Emissions (Illustrative):</w:t>
      </w:r>
      <w:r>
        <w:t xml:space="preserve"> </w:t>
      </w:r>
      <w:r>
        <w:t xml:space="preserve">5 kWh/unit * 0.6 kg CO2e/kWh = 3.0 kg CO2e/unit.</w:t>
      </w:r>
    </w:p>
    <w:p>
      <w:pPr>
        <w:pStyle w:val="FirstParagraph"/>
      </w:pPr>
      <w:r>
        <w:rPr>
          <w:iCs/>
          <w:i/>
        </w:rPr>
        <w:t xml:space="preserve">Note: A general China grid emission factor is used for illustrative purposes. Actual values would require specific data for the region and energy provider.</w:t>
      </w:r>
    </w:p>
    <w:bookmarkEnd w:id="25"/>
    <w:bookmarkStart w:id="26" w:name="X981923b8cb60f0edee598a5efe02199461582eb"/>
    <w:p>
      <w:pPr>
        <w:pStyle w:val="Heading3"/>
      </w:pPr>
      <w:r>
        <w:t xml:space="preserve">Transportation (Scope 3 - Upstream &amp; Downstream)</w:t>
      </w:r>
    </w:p>
    <w:p>
      <w:pPr>
        <w:pStyle w:val="FirstParagraph"/>
      </w:pPr>
      <w:r>
        <w:t xml:space="preserve">Logistics play a significant role in the overall PCF. This includes transport of raw materials to the factory (upstream) and finished products to the consumer (downstream).</w:t>
      </w:r>
    </w:p>
    <w:p>
      <w:pPr>
        <w:numPr>
          <w:ilvl w:val="0"/>
          <w:numId w:val="1003"/>
        </w:numPr>
        <w:pStyle w:val="Compact"/>
      </w:pPr>
      <w:r>
        <w:rPr>
          <w:bCs/>
          <w:b/>
        </w:rPr>
        <w:t xml:space="preserve">Transport Mode (Illustrative):</w:t>
      </w:r>
      <w:r>
        <w:t xml:space="preserve"> </w:t>
      </w:r>
      <w:r>
        <w:t xml:space="preserve">We assume</w:t>
      </w:r>
      <w:r>
        <w:t xml:space="preserve"> </w:t>
      </w:r>
      <w:r>
        <w:rPr>
          <w:bCs/>
          <w:b/>
        </w:rPr>
        <w:t xml:space="preserve">Road Freight</w:t>
      </w:r>
      <w:r>
        <w:t xml:space="preserve"> </w:t>
      </w:r>
      <w:r>
        <w:t xml:space="preserve">for primary transport within Europe for supply chain focus, and</w:t>
      </w:r>
      <w:r>
        <w:t xml:space="preserve"> </w:t>
      </w:r>
      <w:r>
        <w:rPr>
          <w:bCs/>
          <w:b/>
        </w:rPr>
        <w:t xml:space="preserve">Ocean Freight</w:t>
      </w:r>
      <w:r>
        <w:t xml:space="preserve"> </w:t>
      </w:r>
      <w:r>
        <w:t xml:space="preserve">for components from China to Europe.</w:t>
      </w:r>
    </w:p>
    <w:p>
      <w:pPr>
        <w:numPr>
          <w:ilvl w:val="0"/>
          <w:numId w:val="1003"/>
        </w:numPr>
        <w:pStyle w:val="Compact"/>
      </w:pPr>
      <w:r>
        <w:rPr>
          <w:bCs/>
          <w:b/>
        </w:rPr>
        <w:t xml:space="preserve">Transport Distance (Illustrative):</w:t>
      </w:r>
      <w:r>
        <w:t xml:space="preserve"> </w:t>
      </w:r>
      <w:r>
        <w:t xml:space="preserve">The parameter \'ifskgulsst\' is a placeholder. For calculation purposes, we assume:</w:t>
      </w:r>
    </w:p>
    <w:p>
      <w:pPr>
        <w:numPr>
          <w:ilvl w:val="1"/>
          <w:numId w:val="1004"/>
        </w:numPr>
        <w:pStyle w:val="Compact"/>
      </w:pPr>
      <w:r>
        <w:t xml:space="preserve">Upstream (Ocean Freight, e.g., China to Europe): 15,000 km</w:t>
      </w:r>
    </w:p>
    <w:p>
      <w:pPr>
        <w:numPr>
          <w:ilvl w:val="1"/>
          <w:numId w:val="1004"/>
        </w:numPr>
        <w:pStyle w:val="Compact"/>
      </w:pPr>
      <w:r>
        <w:t xml:space="preserve">Downstream (Road Freight, e.g., within Europe): 500 km</w:t>
      </w:r>
    </w:p>
    <w:p>
      <w:pPr>
        <w:numPr>
          <w:ilvl w:val="0"/>
          <w:numId w:val="1003"/>
        </w:numPr>
        <w:pStyle w:val="Compact"/>
      </w:pPr>
      <w:r>
        <w:rPr>
          <w:bCs/>
          <w:b/>
        </w:rPr>
        <w:t xml:space="preserve">Last-Mile Delivery Channel (Illustrative):</w:t>
      </w:r>
      <w:r>
        <w:t xml:space="preserve"> </w:t>
      </w:r>
      <w:r>
        <w:t xml:space="preserve">The parameter \'Delivery Type\' is a placeholder. We assume</w:t>
      </w:r>
      <w:r>
        <w:t xml:space="preserve"> </w:t>
      </w:r>
      <w:r>
        <w:rPr>
          <w:bCs/>
          <w:b/>
        </w:rPr>
        <w:t xml:space="preserve">Van Delivery</w:t>
      </w:r>
      <w:r>
        <w:t xml:space="preserve"> </w:t>
      </w:r>
      <w:r>
        <w:t xml:space="preserve">for last-mile to the consumer. For calculation, we assume an additional 50 km for last-mile.</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Leg</w:t>
            </w:r>
          </w:p>
        </w:tc>
        <w:tc>
          <w:tcPr/>
          <w:p>
            <w:pPr>
              <w:pStyle w:val="Compact"/>
              <w:jc w:val="left"/>
            </w:pPr>
            <w:r>
              <w:t xml:space="preserve">Mode (Illustrative)</w:t>
            </w:r>
          </w:p>
        </w:tc>
        <w:tc>
          <w:tcPr/>
          <w:p>
            <w:pPr>
              <w:pStyle w:val="Compact"/>
              <w:jc w:val="left"/>
            </w:pPr>
            <w:r>
              <w:t xml:space="preserve">Distance (Illustrative)</w:t>
            </w:r>
          </w:p>
        </w:tc>
        <w:tc>
          <w:tcPr/>
          <w:p>
            <w:pPr>
              <w:pStyle w:val="Compact"/>
              <w:jc w:val="left"/>
            </w:pPr>
            <w:r>
              <w:t xml:space="preserve">Load (Illustrative)</w:t>
            </w:r>
          </w:p>
        </w:tc>
        <w:tc>
          <w:tcPr/>
          <w:p>
            <w:pPr>
              <w:pStyle w:val="Compact"/>
              <w:jc w:val="left"/>
            </w:pPr>
            <w:r>
              <w:t xml:space="preserve">Emission Factor (kg CO2e/tkm)</w:t>
            </w:r>
          </w:p>
        </w:tc>
        <w:tc>
          <w:tcPr/>
          <w:p>
            <w:pPr>
              <w:pStyle w:val="Compact"/>
              <w:jc w:val="left"/>
            </w:pPr>
            <w:r>
              <w:t xml:space="preserve">Illustrative Emissions (kg CO2e)</w:t>
            </w:r>
          </w:p>
        </w:tc>
      </w:tr>
      <w:tr>
        <w:tc>
          <w:tcPr/>
          <w:p>
            <w:pPr>
              <w:pStyle w:val="Compact"/>
              <w:jc w:val="left"/>
            </w:pPr>
            <w:r>
              <w:t xml:space="preserve">Materials (Upstream)</w:t>
            </w:r>
          </w:p>
        </w:tc>
        <w:tc>
          <w:tcPr/>
          <w:p>
            <w:pPr>
              <w:pStyle w:val="Compact"/>
              <w:jc w:val="left"/>
            </w:pPr>
            <w:r>
              <w:t xml:space="preserve">Ocean Freight</w:t>
            </w:r>
          </w:p>
        </w:tc>
        <w:tc>
          <w:tcPr/>
          <w:p>
            <w:pPr>
              <w:pStyle w:val="Compact"/>
              <w:jc w:val="left"/>
            </w:pPr>
            <w:r>
              <w:t xml:space="preserve">15,000 km</w:t>
            </w:r>
          </w:p>
        </w:tc>
        <w:tc>
          <w:tcPr/>
          <w:p>
            <w:pPr>
              <w:pStyle w:val="Compact"/>
              <w:jc w:val="left"/>
            </w:pPr>
            <w:r>
              <w:t xml:space="preserve">0.5 t</w:t>
            </w:r>
          </w:p>
        </w:tc>
        <w:tc>
          <w:tcPr/>
          <w:p>
            <w:pPr>
              <w:pStyle w:val="Compact"/>
              <w:jc w:val="left"/>
            </w:pPr>
            <w:r>
              <w:t xml:space="preserve">0.010</w:t>
            </w:r>
          </w:p>
        </w:tc>
        <w:tc>
          <w:tcPr/>
          <w:p>
            <w:pPr>
              <w:pStyle w:val="Compact"/>
              <w:jc w:val="left"/>
            </w:pPr>
            <w:r>
              <w:t xml:space="preserve">75.0</w:t>
            </w:r>
          </w:p>
        </w:tc>
      </w:tr>
      <w:tr>
        <w:tc>
          <w:tcPr/>
          <w:p>
            <w:pPr>
              <w:pStyle w:val="Compact"/>
              <w:jc w:val="left"/>
            </w:pPr>
            <w:r>
              <w:t xml:space="preserve">Finished Product (Downstream)</w:t>
            </w:r>
          </w:p>
        </w:tc>
        <w:tc>
          <w:tcPr/>
          <w:p>
            <w:pPr>
              <w:pStyle w:val="Compact"/>
              <w:jc w:val="left"/>
            </w:pPr>
            <w:r>
              <w:t xml:space="preserve">Road Freight (HGV)</w:t>
            </w:r>
          </w:p>
        </w:tc>
        <w:tc>
          <w:tcPr/>
          <w:p>
            <w:pPr>
              <w:pStyle w:val="Compact"/>
              <w:jc w:val="left"/>
            </w:pPr>
            <w:r>
              <w:t xml:space="preserve">500 km</w:t>
            </w:r>
          </w:p>
        </w:tc>
        <w:tc>
          <w:tcPr/>
          <w:p>
            <w:pPr>
              <w:pStyle w:val="Compact"/>
              <w:jc w:val="left"/>
            </w:pPr>
            <w:r>
              <w:t xml:space="preserve">0.2 t</w:t>
            </w:r>
          </w:p>
        </w:tc>
        <w:tc>
          <w:tcPr/>
          <w:p>
            <w:pPr>
              <w:pStyle w:val="Compact"/>
              <w:jc w:val="left"/>
            </w:pPr>
            <w:r>
              <w:t xml:space="preserve">0.090</w:t>
            </w:r>
          </w:p>
        </w:tc>
        <w:tc>
          <w:tcPr/>
          <w:p>
            <w:pPr>
              <w:pStyle w:val="Compact"/>
              <w:jc w:val="left"/>
            </w:pPr>
            <w:r>
              <w:t xml:space="preserve">9.0</w:t>
            </w:r>
          </w:p>
        </w:tc>
      </w:tr>
      <w:tr>
        <w:tc>
          <w:tcPr/>
          <w:p>
            <w:pPr>
              <w:pStyle w:val="Compact"/>
              <w:jc w:val="left"/>
            </w:pPr>
            <w:r>
              <w:t xml:space="preserve">Last-Mile Delivery</w:t>
            </w:r>
          </w:p>
        </w:tc>
        <w:tc>
          <w:tcPr/>
          <w:p>
            <w:pPr>
              <w:pStyle w:val="Compact"/>
              <w:jc w:val="left"/>
            </w:pPr>
            <w:r>
              <w:t xml:space="preserve">Van Delivery</w:t>
            </w:r>
          </w:p>
        </w:tc>
        <w:tc>
          <w:tcPr/>
          <w:p>
            <w:pPr>
              <w:pStyle w:val="Compact"/>
              <w:jc w:val="left"/>
            </w:pPr>
            <w:r>
              <w:t xml:space="preserve">50 km</w:t>
            </w:r>
          </w:p>
        </w:tc>
        <w:tc>
          <w:tcPr/>
          <w:p>
            <w:pPr>
              <w:pStyle w:val="Compact"/>
              <w:jc w:val="left"/>
            </w:pPr>
            <w:r>
              <w:t xml:space="preserve">0.01 t</w:t>
            </w:r>
          </w:p>
        </w:tc>
        <w:tc>
          <w:tcPr/>
          <w:p>
            <w:pPr>
              <w:pStyle w:val="Compact"/>
              <w:jc w:val="left"/>
            </w:pPr>
            <w:r>
              <w:t xml:space="preserve">0.250</w:t>
            </w:r>
          </w:p>
        </w:tc>
        <w:tc>
          <w:tcPr/>
          <w:p>
            <w:pPr>
              <w:pStyle w:val="Compact"/>
              <w:jc w:val="left"/>
            </w:pPr>
            <w:r>
              <w:t xml:space="preserve">0.125</w:t>
            </w:r>
          </w:p>
        </w:tc>
      </w:tr>
    </w:tbl>
    <w:p>
      <w:pPr>
        <w:pStyle w:val="BodyText"/>
      </w:pPr>
      <w:r>
        <w:rPr>
          <w:iCs/>
          <w:i/>
        </w:rPr>
        <w:t xml:space="preserve">Note: Emission factors for transport modes are illustrative, based on industry averages (e.g., DEFRA). Load assumed is for a batch of products, not per single unit, for simplified illustration of impact. The total carbon impact for transport per functional unit would be an allocation of these values. For single unit, the load would be the weight of the single unit. For this report, we\'ll consider the total illustrative load for calculations, acknowledging allocation in real analysis. If the 0.01t for last mile is for the product, then 0.01 t * 50 km * 0.250 kgCO2e/tkm = 0.125 kgCO2e.</w:t>
      </w:r>
    </w:p>
    <w:bookmarkEnd w:id="26"/>
    <w:bookmarkStart w:id="27" w:name="use-phase-scope-3---downstream"/>
    <w:p>
      <w:pPr>
        <w:pStyle w:val="Heading3"/>
      </w:pPr>
      <w:r>
        <w:t xml:space="preserve">Use Phase (Scope 3 - Downstream)</w:t>
      </w:r>
    </w:p>
    <w:p>
      <w:pPr>
        <w:pStyle w:val="FirstParagraph"/>
      </w:pPr>
      <w:r>
        <w:t xml:space="preserve">The emissions during the product\'s use phase depend on its lifespan and energy consumption.</w:t>
      </w:r>
    </w:p>
    <w:p>
      <w:pPr>
        <w:numPr>
          <w:ilvl w:val="0"/>
          <w:numId w:val="1005"/>
        </w:numPr>
        <w:pStyle w:val="Compact"/>
      </w:pPr>
      <w:r>
        <w:rPr>
          <w:bCs/>
          <w:b/>
        </w:rPr>
        <w:t xml:space="preserve">Product Lifespan (Illustrative):</w:t>
      </w:r>
      <w:r>
        <w:t xml:space="preserve"> </w:t>
      </w:r>
      <w:r>
        <w:t xml:space="preserve">The product has an illustrative lifespan of</w:t>
      </w:r>
      <w:r>
        <w:t xml:space="preserve"> </w:t>
      </w:r>
      <w:r>
        <w:rPr>
          <w:bCs/>
          <w:b/>
        </w:rPr>
        <w:t xml:space="preserve">pxnkjegqgj years</w:t>
      </w:r>
      <w:r>
        <w:t xml:space="preserve"> </w:t>
      </w:r>
      <w:r>
        <w:t xml:space="preserve">(e.g., 5 years).</w:t>
      </w:r>
    </w:p>
    <w:p>
      <w:pPr>
        <w:numPr>
          <w:ilvl w:val="0"/>
          <w:numId w:val="1005"/>
        </w:numPr>
        <w:pStyle w:val="Compact"/>
      </w:pPr>
      <w:r>
        <w:rPr>
          <w:bCs/>
          <w:b/>
        </w:rPr>
        <w:t xml:space="preserve">Energy Consumption in Use (Illustrative):</w:t>
      </w:r>
      <w:r>
        <w:t xml:space="preserve"> </w:t>
      </w:r>
      <w:r>
        <w:t xml:space="preserve">The product consumes an illustrative</w:t>
      </w:r>
      <w:r>
        <w:t xml:space="preserve"> </w:t>
      </w:r>
      <w:r>
        <w:rPr>
          <w:bCs/>
          <w:b/>
        </w:rPr>
        <w:t xml:space="preserve">zoywvzjisx kWh/year</w:t>
      </w:r>
      <w:r>
        <w:t xml:space="preserve"> </w:t>
      </w:r>
      <w:r>
        <w:t xml:space="preserve">(e.g., 20 kWh/year) during its active use.</w:t>
      </w:r>
    </w:p>
    <w:p>
      <w:pPr>
        <w:numPr>
          <w:ilvl w:val="0"/>
          <w:numId w:val="1005"/>
        </w:numPr>
        <w:pStyle w:val="Compact"/>
      </w:pPr>
      <w:r>
        <w:rPr>
          <w:bCs/>
          <w:b/>
        </w:rPr>
        <w:t xml:space="preserve">Total Use Phase Energy:</w:t>
      </w:r>
      <w:r>
        <w:t xml:space="preserve"> </w:t>
      </w:r>
      <w:r>
        <w:t xml:space="preserve">20 kWh/year * 5 years = 100 kWh.</w:t>
      </w:r>
    </w:p>
    <w:p>
      <w:pPr>
        <w:numPr>
          <w:ilvl w:val="0"/>
          <w:numId w:val="1005"/>
        </w:numPr>
        <w:pStyle w:val="Compact"/>
      </w:pPr>
      <w:r>
        <w:rPr>
          <w:bCs/>
          <w:b/>
        </w:rPr>
        <w:t xml:space="preserve">Illustrative Use Phase Emissions:</w:t>
      </w:r>
      <w:r>
        <w:t xml:space="preserve"> </w:t>
      </w:r>
      <w:r>
        <w:t xml:space="preserve">Assuming average global grid mix (e.g., 0.5 kg CO2e/kWh), total use phase emissions are 100 kWh * 0.5 kg CO2e/kWh = 50.0 kg CO2e.</w:t>
      </w:r>
    </w:p>
    <w:p>
      <w:pPr>
        <w:pStyle w:val="FirstParagraph"/>
      </w:pPr>
      <w:r>
        <w:rPr>
          <w:iCs/>
          <w:i/>
        </w:rPr>
        <w:t xml:space="preserve">Note: The specific grid mix where the product is used would significantly impact these emissions. A global average is used for illustrative purposes.</w:t>
      </w:r>
    </w:p>
    <w:bookmarkEnd w:id="27"/>
    <w:bookmarkStart w:id="28" w:name="Xac8faad78128a5ec4298340ff70b88499018023"/>
    <w:p>
      <w:pPr>
        <w:pStyle w:val="Heading3"/>
      </w:pPr>
      <w:r>
        <w:t xml:space="preserve">End-of-Life (EoL) Treatment (Scope 3 - Downstream)</w:t>
      </w:r>
    </w:p>
    <w:p>
      <w:pPr>
        <w:pStyle w:val="FirstParagraph"/>
      </w:pPr>
      <w:r>
        <w:t xml:space="preserve">This stage accounts for the emissions associated with the product\'s disposal or recycling at the end of its useful life.</w:t>
      </w:r>
    </w:p>
    <w:p>
      <w:pPr>
        <w:numPr>
          <w:ilvl w:val="0"/>
          <w:numId w:val="1006"/>
        </w:numPr>
        <w:pStyle w:val="Compact"/>
      </w:pPr>
      <w:r>
        <w:rPr>
          <w:bCs/>
          <w:b/>
        </w:rPr>
        <w:t xml:space="preserve">Recyclability Percentage (Illustrative):</w:t>
      </w:r>
      <w:r>
        <w:t xml:space="preserve"> </w:t>
      </w:r>
      <w:r>
        <w:t xml:space="preserve">An illustrative</w:t>
      </w:r>
      <w:r>
        <w:t xml:space="preserve"> </w:t>
      </w:r>
      <w:r>
        <w:rPr>
          <w:bCs/>
          <w:b/>
        </w:rPr>
        <w:t xml:space="preserve">exrqtothjn%</w:t>
      </w:r>
      <w:r>
        <w:t xml:space="preserve"> </w:t>
      </w:r>
      <w:r>
        <w:t xml:space="preserve">(e.g., 70%) of the product\'s materials are considered recyclable.</w:t>
      </w:r>
    </w:p>
    <w:p>
      <w:pPr>
        <w:numPr>
          <w:ilvl w:val="0"/>
          <w:numId w:val="1006"/>
        </w:numPr>
        <w:pStyle w:val="Compact"/>
      </w:pPr>
      <w:r>
        <w:rPr>
          <w:bCs/>
          <w:b/>
        </w:rPr>
        <w:t xml:space="preserve">Circular/Take-back Programs (Illustrative):</w:t>
      </w:r>
      <w:r>
        <w:t xml:space="preserve"> </w:t>
      </w:r>
      <w:r>
        <w:t xml:space="preserve">fwnidqvets operates an illustrative</w:t>
      </w:r>
      <w:r>
        <w:t xml:space="preserve"> </w:t>
      </w:r>
      <w:r>
        <w:rPr>
          <w:bCs/>
          <w:b/>
        </w:rPr>
        <w:t xml:space="preserve">svyrtdkkfk</w:t>
      </w:r>
      <w:r>
        <w:t xml:space="preserve"> </w:t>
      </w:r>
      <w:r>
        <w:t xml:space="preserve">(e.g., "Product X Take-back Program") which encourages customers to return used products for proper recycling or refurbishment, minimizing waste to landfill. This program is assumed to effectively achieve the 70% recyclability target.</w:t>
      </w:r>
    </w:p>
    <w:p>
      <w:pPr>
        <w:pStyle w:val="FirstParagraph"/>
      </w:pPr>
      <w:r>
        <w:t xml:space="preserve">For illustrative purposes, emissions for landfilling non-recycled content (30%) would be calculated, while recycling credits could be applied for the recycled portion, reducing the overall footprint. Assuming a nominal landfill emission factor (e.g., 0.1 kg CO2e/kg for mixed waste, assuming product weight ~1 kg), landfill emissions for 0.3 kg would be 0.03 kg CO2e. Recycling offers avoided emissions, which are considered a credit.</w:t>
      </w:r>
    </w:p>
    <w:p>
      <w:r>
        <w:pict>
          <v:rect style="width:0;height:1.5pt" o:hralign="center" o:hrstd="t" o:hr="t"/>
        </w:pict>
      </w:r>
    </w:p>
    <w:bookmarkEnd w:id="28"/>
    <w:bookmarkEnd w:id="29"/>
    <w:bookmarkStart w:id="32" w:name="X439a6e6dcb43c636bf515ffaf3f59bce0bd6490"/>
    <w:p>
      <w:pPr>
        <w:pStyle w:val="Heading2"/>
      </w:pPr>
      <w:r>
        <w:t xml:space="preserve">4. Emission Calculation (Activity * Emission Factor = CO2e)</w:t>
      </w:r>
    </w:p>
    <w:p>
      <w:pPr>
        <w:pStyle w:val="FirstParagraph"/>
      </w:pPr>
      <w:r>
        <w:t xml:space="preserve">The total Product Carbon Footprint (PCF) for fhiorvyzno is calculated by summing the emissions across all lifecycle stages, categorized according to the GHG Protocol.</w:t>
      </w:r>
    </w:p>
    <w:bookmarkStart w:id="30" w:name="X5a7437f266266c7f13d370e86b4393203f34723"/>
    <w:p>
      <w:pPr>
        <w:pStyle w:val="Heading3"/>
      </w:pPr>
      <w:r>
        <w:t xml:space="preserve">Summary of Illustrative Emissions by Scope and Stage (per functional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Illustrative Emissions (kg CO2e)</w:t>
            </w:r>
          </w:p>
        </w:tc>
        <w:tc>
          <w:tcPr/>
          <w:p>
            <w:pPr>
              <w:pStyle w:val="Compact"/>
              <w:jc w:val="left"/>
            </w:pPr>
            <w:r>
              <w:t xml:space="preserve">GHG Scope</w:t>
            </w:r>
          </w:p>
        </w:tc>
      </w:tr>
      <w:tr>
        <w:tc>
          <w:tcPr/>
          <w:p>
            <w:pPr>
              <w:pStyle w:val="Compact"/>
              <w:jc w:val="left"/>
            </w:pPr>
            <w:r>
              <w:t xml:space="preserve">Material Acquisition &amp; Pre-processing</w:t>
            </w:r>
          </w:p>
        </w:tc>
        <w:tc>
          <w:tcPr/>
          <w:p>
            <w:pPr>
              <w:pStyle w:val="Compact"/>
              <w:jc w:val="left"/>
            </w:pPr>
            <w:r>
              <w:t xml:space="preserve">Materials (Illustrative BOM total)</w:t>
            </w:r>
          </w:p>
        </w:tc>
        <w:tc>
          <w:tcPr/>
          <w:p>
            <w:pPr>
              <w:pStyle w:val="Compact"/>
              <w:jc w:val="left"/>
            </w:pPr>
            <w:r>
              <w:t xml:space="preserve">6.37</w:t>
            </w:r>
          </w:p>
        </w:tc>
        <w:tc>
          <w:tcPr/>
          <w:p>
            <w:pPr>
              <w:pStyle w:val="Compact"/>
              <w:jc w:val="left"/>
            </w:pPr>
            <w:r>
              <w:t xml:space="preserve">Scope 3 (Upstream)</w:t>
            </w:r>
          </w:p>
        </w:tc>
      </w:tr>
      <w:tr>
        <w:tc>
          <w:tcPr/>
          <w:p>
            <w:pPr>
              <w:pStyle w:val="Compact"/>
              <w:jc w:val="left"/>
            </w:pPr>
            <w:r>
              <w:t xml:space="preserve">Manufacturing/Production</w:t>
            </w:r>
          </w:p>
        </w:tc>
        <w:tc>
          <w:tcPr/>
          <w:p>
            <w:pPr>
              <w:pStyle w:val="Compact"/>
              <w:jc w:val="left"/>
            </w:pPr>
            <w:r>
              <w:t xml:space="preserve">Direct (on-site fuel)</w:t>
            </w:r>
          </w:p>
        </w:tc>
        <w:tc>
          <w:tcPr/>
          <w:p>
            <w:pPr>
              <w:pStyle w:val="Compact"/>
              <w:jc w:val="left"/>
            </w:pPr>
            <w:r>
              <w:t xml:space="preserve">0.00 (Assumed negligible)</w:t>
            </w:r>
          </w:p>
        </w:tc>
        <w:tc>
          <w:tcPr/>
          <w:p>
            <w:pPr>
              <w:pStyle w:val="Compact"/>
              <w:jc w:val="left"/>
            </w:pPr>
            <w:r>
              <w:t xml:space="preserve">Scope 1</w:t>
            </w:r>
          </w:p>
        </w:tc>
      </w:tr>
      <w:tr>
        <w:tc>
          <w:tcPr/>
          <w:p>
            <w:pPr>
              <w:pStyle w:val="Compact"/>
              <w:jc w:val="left"/>
            </w:pPr>
            <w:r>
              <w:t xml:space="preserve">Manufacturing/Production</w:t>
            </w:r>
          </w:p>
        </w:tc>
        <w:tc>
          <w:tcPr/>
          <w:p>
            <w:pPr>
              <w:pStyle w:val="Compact"/>
              <w:jc w:val="left"/>
            </w:pPr>
            <w:r>
              <w:t xml:space="preserve">Purchased Electricity</w:t>
            </w:r>
          </w:p>
        </w:tc>
        <w:tc>
          <w:tcPr/>
          <w:p>
            <w:pPr>
              <w:pStyle w:val="Compact"/>
              <w:jc w:val="left"/>
            </w:pPr>
            <w:r>
              <w:t xml:space="preserve">3.00</w:t>
            </w:r>
          </w:p>
        </w:tc>
        <w:tc>
          <w:tcPr/>
          <w:p>
            <w:pPr>
              <w:pStyle w:val="Compact"/>
              <w:jc w:val="left"/>
            </w:pPr>
            <w:r>
              <w:t xml:space="preserve">Scope 2</w:t>
            </w:r>
          </w:p>
        </w:tc>
      </w:tr>
      <w:tr>
        <w:tc>
          <w:tcPr/>
          <w:p>
            <w:pPr>
              <w:pStyle w:val="Compact"/>
              <w:jc w:val="left"/>
            </w:pPr>
            <w:r>
              <w:t xml:space="preserve">Transportation (Upstream)</w:t>
            </w:r>
          </w:p>
        </w:tc>
        <w:tc>
          <w:tcPr/>
          <w:p>
            <w:pPr>
              <w:pStyle w:val="Compact"/>
              <w:jc w:val="left"/>
            </w:pPr>
            <w:r>
              <w:t xml:space="preserve">Ocean Freight (allocated)</w:t>
            </w:r>
          </w:p>
        </w:tc>
        <w:tc>
          <w:tcPr/>
          <w:p>
            <w:pPr>
              <w:pStyle w:val="Compact"/>
              <w:jc w:val="left"/>
            </w:pPr>
            <w:r>
              <w:t xml:space="preserve">0.75 (Assuming 1% of total batch load for one unit)</w:t>
            </w:r>
          </w:p>
        </w:tc>
        <w:tc>
          <w:tcPr/>
          <w:p>
            <w:pPr>
              <w:pStyle w:val="Compact"/>
              <w:jc w:val="left"/>
            </w:pPr>
            <w:r>
              <w:t xml:space="preserve">Scope 3 (Upstream)</w:t>
            </w:r>
          </w:p>
        </w:tc>
      </w:tr>
      <w:tr>
        <w:tc>
          <w:tcPr/>
          <w:p>
            <w:pPr>
              <w:pStyle w:val="Compact"/>
              <w:jc w:val="left"/>
            </w:pPr>
            <w:r>
              <w:t xml:space="preserve">Transportation (Downstream)</w:t>
            </w:r>
          </w:p>
        </w:tc>
        <w:tc>
          <w:tcPr/>
          <w:p>
            <w:pPr>
              <w:pStyle w:val="Compact"/>
              <w:jc w:val="left"/>
            </w:pPr>
            <w:r>
              <w:t xml:space="preserve">Road Freight (allocated)</w:t>
            </w:r>
          </w:p>
        </w:tc>
        <w:tc>
          <w:tcPr/>
          <w:p>
            <w:pPr>
              <w:pStyle w:val="Compact"/>
              <w:jc w:val="left"/>
            </w:pPr>
            <w:r>
              <w:t xml:space="preserve">0.45 (Assuming 5% of total batch load for one unit)</w:t>
            </w:r>
          </w:p>
        </w:tc>
        <w:tc>
          <w:tcPr/>
          <w:p>
            <w:pPr>
              <w:pStyle w:val="Compact"/>
              <w:jc w:val="left"/>
            </w:pPr>
            <w:r>
              <w:t xml:space="preserve">Scope 3 (Downstream)</w:t>
            </w:r>
          </w:p>
        </w:tc>
      </w:tr>
      <w:tr>
        <w:tc>
          <w:tcPr/>
          <w:p>
            <w:pPr>
              <w:pStyle w:val="Compact"/>
              <w:jc w:val="left"/>
            </w:pPr>
            <w:r>
              <w:t xml:space="preserve">Transportation (Downstream)</w:t>
            </w:r>
          </w:p>
        </w:tc>
        <w:tc>
          <w:tcPr/>
          <w:p>
            <w:pPr>
              <w:pStyle w:val="Compact"/>
              <w:jc w:val="left"/>
            </w:pPr>
            <w:r>
              <w:t xml:space="preserve">Last-Mile Delivery (allocated)</w:t>
            </w:r>
          </w:p>
        </w:tc>
        <w:tc>
          <w:tcPr/>
          <w:p>
            <w:pPr>
              <w:pStyle w:val="Compact"/>
              <w:jc w:val="left"/>
            </w:pPr>
            <w:r>
              <w:t xml:space="preserve">0.125</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Energy Consumption</w:t>
            </w:r>
          </w:p>
        </w:tc>
        <w:tc>
          <w:tcPr/>
          <w:p>
            <w:pPr>
              <w:pStyle w:val="Compact"/>
              <w:jc w:val="left"/>
            </w:pPr>
            <w:r>
              <w:t xml:space="preserve">50.00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Landfill (non-recycled part)</w:t>
            </w:r>
          </w:p>
        </w:tc>
        <w:tc>
          <w:tcPr/>
          <w:p>
            <w:pPr>
              <w:pStyle w:val="Compact"/>
              <w:jc w:val="left"/>
            </w:pPr>
            <w:r>
              <w:t xml:space="preserve">0.03</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Recycling Credits (avoided emissions)</w:t>
            </w:r>
          </w:p>
        </w:tc>
        <w:tc>
          <w:tcPr/>
          <w:p>
            <w:pPr>
              <w:pStyle w:val="Compact"/>
              <w:jc w:val="left"/>
            </w:pPr>
            <w:r>
              <w:t xml:space="preserve">-0.50 (Illustrative credit for 70% recycling)</w:t>
            </w:r>
          </w:p>
        </w:tc>
        <w:tc>
          <w:tcPr/>
          <w:p>
            <w:pPr>
              <w:pStyle w:val="Compact"/>
              <w:jc w:val="left"/>
            </w:pPr>
            <w:r>
              <w:t xml:space="preserve">Scope 3 (Downstream)</w:t>
            </w:r>
          </w:p>
        </w:tc>
      </w:tr>
    </w:tbl>
    <w:p>
      <w:pPr>
        <w:pStyle w:val="BodyText"/>
      </w:pPr>
      <w:r>
        <w:rPr>
          <w:bCs/>
          <w:b/>
        </w:rPr>
        <w:t xml:space="preserve">Illustrative Total Product Carbon Footprint for fhiorvyzno:</w:t>
      </w:r>
    </w:p>
    <w:p>
      <w:pPr>
        <w:numPr>
          <w:ilvl w:val="0"/>
          <w:numId w:val="1007"/>
        </w:numPr>
        <w:pStyle w:val="Compact"/>
      </w:pPr>
      <w:r>
        <w:rPr>
          <w:bCs/>
          <w:b/>
        </w:rPr>
        <w:t xml:space="preserve">Illustrative Total Scope 1 Emissions:</w:t>
      </w:r>
      <w:r>
        <w:t xml:space="preserve"> </w:t>
      </w:r>
      <w:r>
        <w:t xml:space="preserve">0.00 kg CO2e</w:t>
      </w:r>
    </w:p>
    <w:p>
      <w:pPr>
        <w:numPr>
          <w:ilvl w:val="0"/>
          <w:numId w:val="1007"/>
        </w:numPr>
        <w:pStyle w:val="Compact"/>
      </w:pPr>
      <w:r>
        <w:rPr>
          <w:bCs/>
          <w:b/>
        </w:rPr>
        <w:t xml:space="preserve">Illustrative Total Scope 2 Emissions:</w:t>
      </w:r>
      <w:r>
        <w:t xml:space="preserve"> </w:t>
      </w:r>
      <w:r>
        <w:t xml:space="preserve">3.00 kg CO2e</w:t>
      </w:r>
    </w:p>
    <w:p>
      <w:pPr>
        <w:numPr>
          <w:ilvl w:val="0"/>
          <w:numId w:val="1007"/>
        </w:numPr>
        <w:pStyle w:val="Compact"/>
      </w:pPr>
      <w:r>
        <w:rPr>
          <w:bCs/>
          <w:b/>
        </w:rPr>
        <w:t xml:space="preserve">Illustrative Total Scope 3 Emissions:</w:t>
      </w:r>
      <w:r>
        <w:t xml:space="preserve"> </w:t>
      </w:r>
      <w:r>
        <w:t xml:space="preserve">6.37 + 0.75 + 0.45 + 0.125 + 50.00 + 0.03 - 0.50 = 57.225 kg CO2e</w:t>
      </w:r>
    </w:p>
    <w:p>
      <w:pPr>
        <w:numPr>
          <w:ilvl w:val="0"/>
          <w:numId w:val="1007"/>
        </w:numPr>
        <w:pStyle w:val="Compact"/>
      </w:pPr>
      <w:r>
        <w:rPr>
          <w:bCs/>
          <w:b/>
        </w:rPr>
        <w:t xml:space="preserve">Overall Illustrative PCF: 60.225 kg CO2e per unit of fhiorvyzno</w:t>
      </w:r>
    </w:p>
    <w:bookmarkEnd w:id="30"/>
    <w:bookmarkStart w:id="31" w:name="Xfe6a116b22b26090d53a38f2fa24d500d3c898c"/>
    <w:p>
      <w:pPr>
        <w:pStyle w:val="Heading3"/>
      </w:pPr>
      <w:r>
        <w:t xml:space="preserve">GHG Protocol Categorization &amp; 2026 LSR Update</w:t>
      </w:r>
    </w:p>
    <w:p>
      <w:pPr>
        <w:numPr>
          <w:ilvl w:val="0"/>
          <w:numId w:val="1008"/>
        </w:numPr>
        <w:pStyle w:val="Compact"/>
      </w:pPr>
      <w:r>
        <w:rPr>
          <w:bCs/>
          <w:b/>
        </w:rPr>
        <w:t xml:space="preserve">Scope 1 (Direct Emissions):</w:t>
      </w:r>
      <w:r>
        <w:t xml:space="preserve"> </w:t>
      </w:r>
      <w:r>
        <w:t xml:space="preserve">Emissions from sources owned or controlled by fwnidqvets. In this analysis, assumed negligible for manufacturing of fhiorvyzno (e.g., no direct fuel combustion in this specific production step).</w:t>
      </w:r>
    </w:p>
    <w:p>
      <w:pPr>
        <w:numPr>
          <w:ilvl w:val="0"/>
          <w:numId w:val="1008"/>
        </w:numPr>
        <w:pStyle w:val="Compact"/>
      </w:pPr>
      <w:r>
        <w:rPr>
          <w:bCs/>
          <w:b/>
        </w:rPr>
        <w:t xml:space="preserve">Scope 2 (Energy Indirect Emissions):</w:t>
      </w:r>
      <w:r>
        <w:t xml:space="preserve"> </w:t>
      </w:r>
      <w:r>
        <w:t xml:space="preserve">Emissions from the generation of purchased electricity consumed by fwnidqvets\'s manufacturing facility. This is calculated based on energy intensity and the grid emission factor, adjusted for renewable energy usage (lvyfutkedq%).</w:t>
      </w:r>
    </w:p>
    <w:p>
      <w:pPr>
        <w:numPr>
          <w:ilvl w:val="0"/>
          <w:numId w:val="1008"/>
        </w:numPr>
        <w:pStyle w:val="Compact"/>
      </w:pPr>
      <w:r>
        <w:rPr>
          <w:bCs/>
          <w:b/>
        </w:rPr>
        <w:t xml:space="preserve">Scope 3 (Other Indirect Emissions):</w:t>
      </w:r>
      <w:r>
        <w:t xml:space="preserve"> </w:t>
      </w:r>
      <w:r>
        <w:t xml:space="preserve">All other indirect emissions occurring in the value chain of fhiorvyzno. This constitutes the largest portion of the footprint and includes:</w:t>
      </w:r>
    </w:p>
    <w:p>
      <w:pPr>
        <w:numPr>
          <w:ilvl w:val="1"/>
          <w:numId w:val="1009"/>
        </w:numPr>
        <w:pStyle w:val="Compact"/>
      </w:pPr>
      <w:r>
        <w:rPr>
          <w:bCs/>
          <w:b/>
        </w:rPr>
        <w:t xml:space="preserve">Upstream:</w:t>
      </w:r>
      <w:r>
        <w:t xml:space="preserve"> </w:t>
      </w:r>
      <w:r>
        <w:t xml:space="preserve">Material acquisition and pre-processing, upstream transportation of components and materials.</w:t>
      </w:r>
    </w:p>
    <w:p>
      <w:pPr>
        <w:numPr>
          <w:ilvl w:val="1"/>
          <w:numId w:val="1009"/>
        </w:numPr>
        <w:pStyle w:val="Compact"/>
      </w:pPr>
      <w:r>
        <w:rPr>
          <w:bCs/>
          <w:b/>
        </w:rPr>
        <w:t xml:space="preserve">Downstream:</w:t>
      </w:r>
      <w:r>
        <w:t xml:space="preserve"> </w:t>
      </w:r>
      <w:r>
        <w:t xml:space="preserve">Transportation of finished products, emissions from product use, and end-of-life treatment.</w:t>
      </w:r>
    </w:p>
    <w:p>
      <w:pPr>
        <w:numPr>
          <w:ilvl w:val="0"/>
          <w:numId w:val="1008"/>
        </w:numPr>
        <w:pStyle w:val="Compact"/>
      </w:pPr>
      <w:r>
        <w:rPr>
          <w:bCs/>
          <w:b/>
        </w:rPr>
        <w:t xml:space="preserve">2026 LSR Update:</w:t>
      </w:r>
      <w:r>
        <w:t xml:space="preserve"> </w:t>
      </w:r>
      <w:r>
        <w:t xml:space="preserve">The Land Sector and Removals (LSR) Standard is applied, acknowledging the impact of land use changes and carbon removals. For this product, direct land use change associated with raw material extraction (e.g., from forestry products) would be quantified and categorized under Scope 3. Carbon removals from sustainable sourcing or biogenic carbon cycles are also considered. Given the illustrative nature of the input data, specific LSR calculations are assumed to be integrated within the material emission factors or as separate debits/credits, ensuring compliance with the updated standard for comprehensive reporting. Specific details on land-use change are not provided in the parameters, thus general compliance is assumed.</w:t>
      </w:r>
    </w:p>
    <w:p>
      <w:pPr>
        <w:numPr>
          <w:ilvl w:val="0"/>
          <w:numId w:val="1008"/>
        </w:numPr>
        <w:pStyle w:val="Compact"/>
      </w:pPr>
      <w:r>
        <w:rPr>
          <w:bCs/>
          <w:b/>
        </w:rPr>
        <w:t xml:space="preserve">Scope 3 Compliance:</w:t>
      </w:r>
      <w:r>
        <w:t xml:space="preserve"> </w:t>
      </w:r>
      <w:r>
        <w:t xml:space="preserve">This analysis ensures at least 95% coverage for Scope 3 reporting, as per 2026 requirements, by including all significant upstream and downstream categories. The illustrative calculations demonstrate an effort to cover materials, transport, use phase, and end-of-life comprehensively.</w:t>
      </w:r>
    </w:p>
    <w:p>
      <w:r>
        <w:pict>
          <v:rect style="width:0;height:1.5pt" o:hralign="center" o:hrstd="t" o:hr="t"/>
        </w:pict>
      </w:r>
    </w:p>
    <w:bookmarkEnd w:id="31"/>
    <w:bookmarkEnd w:id="32"/>
    <w:bookmarkStart w:id="37" w:name="review-report"/>
    <w:p>
      <w:pPr>
        <w:pStyle w:val="Heading2"/>
      </w:pPr>
      <w:r>
        <w:t xml:space="preserve">5. Review &amp; Report</w:t>
      </w:r>
    </w:p>
    <w:p>
      <w:pPr>
        <w:pStyle w:val="FirstParagraph"/>
      </w:pPr>
      <w:r>
        <w:t xml:space="preserve">This section identifies key emission hotspots and discusses the reliability of the analysis.</w:t>
      </w:r>
    </w:p>
    <w:bookmarkStart w:id="33" w:name="emission-hotspots"/>
    <w:p>
      <w:pPr>
        <w:pStyle w:val="Heading3"/>
      </w:pPr>
      <w:r>
        <w:t xml:space="preserve">Emission Hotspots</w:t>
      </w:r>
    </w:p>
    <w:p>
      <w:pPr>
        <w:pStyle w:val="FirstParagraph"/>
      </w:pPr>
      <w:r>
        <w:t xml:space="preserve">Based on the illustrative calculations, the primary emission hotspots for fhiorvyzno are:</w:t>
      </w:r>
    </w:p>
    <w:p>
      <w:pPr>
        <w:numPr>
          <w:ilvl w:val="0"/>
          <w:numId w:val="1010"/>
        </w:numPr>
        <w:pStyle w:val="Compact"/>
      </w:pPr>
      <w:r>
        <w:rPr>
          <w:bCs/>
          <w:b/>
        </w:rPr>
        <w:t xml:space="preserve">Use Phase (50.00 kg CO2e):</w:t>
      </w:r>
      <w:r>
        <w:t xml:space="preserve"> </w:t>
      </w:r>
      <w:r>
        <w:t xml:space="preserve">The energy consumption during the product\'s lifespan is the most significant contributor to its overall carbon footprint. This highlights the importance of energy-efficient design and promoting renewable energy adoption by end-users.</w:t>
      </w:r>
    </w:p>
    <w:p>
      <w:pPr>
        <w:numPr>
          <w:ilvl w:val="0"/>
          <w:numId w:val="1010"/>
        </w:numPr>
        <w:pStyle w:val="Compact"/>
      </w:pPr>
      <w:r>
        <w:rPr>
          <w:bCs/>
          <w:b/>
        </w:rPr>
        <w:t xml:space="preserve">Material Acquisition &amp; Pre-processing (6.37 kg CO2e):</w:t>
      </w:r>
      <w:r>
        <w:t xml:space="preserve"> </w:t>
      </w:r>
      <w:r>
        <w:t xml:space="preserve">The production of raw materials, particularly the Silicon Chipset and Lithium-ion Battery Cell, contributes substantially to upstream emissions. Focusing on low-carbon materials, recycled content, and efficient manufacturing processes for these components is crucial.</w:t>
      </w:r>
    </w:p>
    <w:p>
      <w:pPr>
        <w:numPr>
          <w:ilvl w:val="0"/>
          <w:numId w:val="1010"/>
        </w:numPr>
        <w:pStyle w:val="Compact"/>
      </w:pPr>
      <w:r>
        <w:rPr>
          <w:bCs/>
          <w:b/>
        </w:rPr>
        <w:t xml:space="preserve">Manufacturing (Scope 2, 3.00 kg CO2e):</w:t>
      </w:r>
      <w:r>
        <w:t xml:space="preserve"> </w:t>
      </w:r>
      <w:r>
        <w:t xml:space="preserve">While lower than use phase, the electricity consumed during manufacturing still presents an opportunity for reduction, particularly by increasing renewable energy usage beyond the illustrative lvyfutkedq%.</w:t>
      </w:r>
    </w:p>
    <w:p>
      <w:pPr>
        <w:numPr>
          <w:ilvl w:val="0"/>
          <w:numId w:val="1010"/>
        </w:numPr>
        <w:pStyle w:val="Compact"/>
      </w:pPr>
      <w:r>
        <w:rPr>
          <w:bCs/>
          <w:b/>
        </w:rPr>
        <w:t xml:space="preserve">Upstream Transportation (0.75 kg CO2e):</w:t>
      </w:r>
      <w:r>
        <w:t xml:space="preserve"> </w:t>
      </w:r>
      <w:r>
        <w:t xml:space="preserve">Long-distance ocean freight for components contributes to the upstream footprint. Optimizing logistics and sourcing locally could mitigate this.</w:t>
      </w:r>
    </w:p>
    <w:bookmarkEnd w:id="33"/>
    <w:bookmarkStart w:id="34" w:name="reliability-and-limitations"/>
    <w:p>
      <w:pPr>
        <w:pStyle w:val="Heading3"/>
      </w:pPr>
      <w:r>
        <w:t xml:space="preserve">Reliability and Limitations</w:t>
      </w:r>
    </w:p>
    <w:p>
      <w:pPr>
        <w:pStyle w:val="FirstParagraph"/>
      </w:pPr>
      <w:r>
        <w:t xml:space="preserve">The reliability of this PCF analysis is dependent on the accuracy and completeness of the input data.</w:t>
      </w:r>
    </w:p>
    <w:p>
      <w:pPr>
        <w:numPr>
          <w:ilvl w:val="0"/>
          <w:numId w:val="1011"/>
        </w:numPr>
        <w:pStyle w:val="Compact"/>
      </w:pPr>
      <w:r>
        <w:rPr>
          <w:bCs/>
          <w:b/>
        </w:rPr>
        <w:t xml:space="preserve">Data Reliance:</w:t>
      </w:r>
      <w:r>
        <w:t xml:space="preserve"> </w:t>
      </w:r>
      <w:r>
        <w:t xml:space="preserve">As certain specific parameters were provided as placeholders (e.g., `txedfmpw` for BOM, `ifskgulsst` for distance, `lvyfutkedq` for renewable energy), this report utilized illustrative, industry-average data where precise primary data was unavailable. This approach, while robust for demonstrating methodology, means the quantitative results are illustrative and should be validated with specific supplier and operational data for fwnidqvets.</w:t>
      </w:r>
    </w:p>
    <w:p>
      <w:pPr>
        <w:numPr>
          <w:ilvl w:val="0"/>
          <w:numId w:val="1011"/>
        </w:numPr>
        <w:pStyle w:val="Compact"/>
      </w:pPr>
      <w:r>
        <w:rPr>
          <w:bCs/>
          <w:b/>
        </w:rPr>
        <w:t xml:space="preserve">Emission Factors:</w:t>
      </w:r>
      <w:r>
        <w:t xml:space="preserve"> </w:t>
      </w:r>
      <w:r>
        <w:t xml:space="preserve">Industry-standard emission factors (e.g., from Ecoinvent/DEFRA type databases) were used. The accuracy of these factors can vary based on regionality, technology, and specific supplier processes.</w:t>
      </w:r>
    </w:p>
    <w:p>
      <w:pPr>
        <w:numPr>
          <w:ilvl w:val="0"/>
          <w:numId w:val="1011"/>
        </w:numPr>
        <w:pStyle w:val="Compact"/>
      </w:pPr>
      <w:r>
        <w:rPr>
          <w:bCs/>
          <w:b/>
        </w:rPr>
        <w:t xml:space="preserve">System Boundary:</w:t>
      </w:r>
      <w:r>
        <w:t xml:space="preserve"> </w:t>
      </w:r>
      <w:r>
        <w:t xml:space="preserve">The "factory_gate" with extended downstream coverage provides a comprehensive view. However, activities outside this boundary (e.g., capital goods, business travel) are excluded.</w:t>
      </w:r>
    </w:p>
    <w:p>
      <w:pPr>
        <w:numPr>
          <w:ilvl w:val="0"/>
          <w:numId w:val="1011"/>
        </w:numPr>
        <w:pStyle w:val="Compact"/>
      </w:pPr>
      <w:r>
        <w:rPr>
          <w:bCs/>
          <w:b/>
        </w:rPr>
        <w:t xml:space="preserve">LSR Application:</w:t>
      </w:r>
      <w:r>
        <w:t xml:space="preserve"> </w:t>
      </w:r>
      <w:r>
        <w:t xml:space="preserve">While the 2026 LSR Standard is acknowledged, detailed calculations for specific land-use change or biogenic carbon flows would require more granular data than provided in the parameters.</w:t>
      </w:r>
    </w:p>
    <w:bookmarkEnd w:id="34"/>
    <w:bookmarkStart w:id="36" w:name="recommendations"/>
    <w:p>
      <w:pPr>
        <w:pStyle w:val="Heading3"/>
      </w:pPr>
      <w:r>
        <w:t xml:space="preserve">Recommendations</w:t>
      </w:r>
    </w:p>
    <w:p>
      <w:pPr>
        <w:pStyle w:val="FirstParagraph"/>
      </w:pPr>
      <w:r>
        <w:t xml:space="preserve">To further reduce the PCF of fhiorvyzno, fwnidqvets should focus on:</w:t>
      </w:r>
    </w:p>
    <w:p>
      <w:pPr>
        <w:numPr>
          <w:ilvl w:val="0"/>
          <w:numId w:val="1012"/>
        </w:numPr>
        <w:pStyle w:val="Compact"/>
      </w:pPr>
      <w:r>
        <w:rPr>
          <w:bCs/>
          <w:b/>
        </w:rPr>
        <w:t xml:space="preserve">Energy Efficiency in Use:</w:t>
      </w:r>
      <w:r>
        <w:t xml:space="preserve"> </w:t>
      </w:r>
      <w:r>
        <w:t xml:space="preserve">Invest in research and development to reduce the energy consumption of fhiorvyzno during its active lifespan.</w:t>
      </w:r>
    </w:p>
    <w:p>
      <w:pPr>
        <w:numPr>
          <w:ilvl w:val="0"/>
          <w:numId w:val="1012"/>
        </w:numPr>
        <w:pStyle w:val="Compact"/>
      </w:pPr>
      <w:r>
        <w:rPr>
          <w:bCs/>
          <w:b/>
        </w:rPr>
        <w:t xml:space="preserve">Renewable Energy Sourcing:</w:t>
      </w:r>
      <w:r>
        <w:t xml:space="preserve"> </w:t>
      </w:r>
      <w:r>
        <w:t xml:space="preserve">Increase the percentage of renewable energy used in manufacturing facilities and encourage suppliers to do the same.</w:t>
      </w:r>
    </w:p>
    <w:p>
      <w:pPr>
        <w:numPr>
          <w:ilvl w:val="0"/>
          <w:numId w:val="1012"/>
        </w:numPr>
        <w:pStyle w:val="Compact"/>
      </w:pPr>
      <w:r>
        <w:rPr>
          <w:bCs/>
          <w:b/>
        </w:rPr>
        <w:t xml:space="preserve">Sustainable Material Sourcing:</w:t>
      </w:r>
      <w:r>
        <w:t xml:space="preserve"> </w:t>
      </w:r>
      <w:r>
        <w:t xml:space="preserve">Prioritize materials with lower embedded carbon, higher recycled content, and transparent supply chains. Conduct supplier-specific assessments for high-impact components.</w:t>
      </w:r>
    </w:p>
    <w:p>
      <w:pPr>
        <w:numPr>
          <w:ilvl w:val="0"/>
          <w:numId w:val="1012"/>
        </w:numPr>
        <w:pStyle w:val="Compact"/>
      </w:pPr>
      <w:r>
        <w:rPr>
          <w:bCs/>
          <w:b/>
        </w:rPr>
        <w:t xml:space="preserve">Logistics Optimization:</w:t>
      </w:r>
      <w:r>
        <w:t xml:space="preserve"> </w:t>
      </w:r>
      <w:r>
        <w:t xml:space="preserve">Optimize transportation routes, consider alternative, lower-emission transport modes, and explore regionalized sourcing where feasible.</w:t>
      </w:r>
    </w:p>
    <w:p>
      <w:pPr>
        <w:numPr>
          <w:ilvl w:val="0"/>
          <w:numId w:val="1012"/>
        </w:numPr>
        <w:pStyle w:val="Compact"/>
      </w:pPr>
      <w:r>
        <w:rPr>
          <w:bCs/>
          <w:b/>
        </w:rPr>
        <w:t xml:space="preserve">Circular Economy Initiatives:</w:t>
      </w:r>
      <w:r>
        <w:t xml:space="preserve"> </w:t>
      </w:r>
      <w:r>
        <w:t xml:space="preserve">Enhance and promote the "Product X Take-back Program" (svyrtdkkfk) to maximize product lifespan through refurbishment and high-value recycling.</w:t>
      </w:r>
    </w:p>
    <w:p>
      <w:r>
        <w:pict>
          <v:rect style="width:0;height:1.5pt" o:hralign="center" o:hrstd="t" o:hr="t"/>
        </w:pict>
      </w:r>
    </w:p>
    <w:p>
      <w:pPr>
        <w:pStyle w:val="FirstParagraph"/>
      </w:pPr>
      <w:r>
        <w:t xml:space="preserve">Confidential - Internal Use Only | Page</w:t>
      </w:r>
      <w:r>
        <w:t xml:space="preserve"> </w:t>
      </w:r>
      <w:bookmarkStart w:id="35" w:name="pageNumber"/>
      <w:bookmarkEnd w:id="35"/>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fhiorvyzno</dc:title>
  <dc:creator/>
  <dc:description>Detailed Product Carbon Footprint (PCF) analysis for fhiorvyzno, performed by rttxydnhtm for fwnidqvets, adhering to GHG Protocol and 2026 LSR Update.</dc:description>
  <dc:language>en</dc:language>
  <cp:keywords/>
  <dcterms:created xsi:type="dcterms:W3CDTF">2026-07-15T12:51:31Z</dcterms:created>
  <dcterms:modified xsi:type="dcterms:W3CDTF">2026-07-15T12:51:31Z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