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fhgefggmko</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fhgefggmko</w:t>
      </w:r>
    </w:p>
    <w:p>
      <w:pPr>
        <w:pStyle w:val="BodyText"/>
      </w:pPr>
      <w:r>
        <w:rPr>
          <w:bCs/>
          <w:b/>
        </w:rPr>
        <w:t xml:space="preserve">Company Name:</w:t>
      </w:r>
      <w:r>
        <w:t xml:space="preserve"> </w:t>
      </w:r>
      <w:r>
        <w:t xml:space="preserve">mrlfgirptt</w:t>
      </w:r>
    </w:p>
    <w:p>
      <w:pPr>
        <w:pStyle w:val="BodyText"/>
      </w:pPr>
      <w:r>
        <w:rPr>
          <w:bCs/>
          <w:b/>
        </w:rPr>
        <w:t xml:space="preserve">Senior Sustainability Consultant:</w:t>
      </w:r>
      <w:r>
        <w:t xml:space="preserve"> </w:t>
      </w:r>
      <w:r>
        <w:t xml:space="preserve">zgdfjzqjgy</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employing representative emission factors for calculation where specific values were not provided. The accuracy of the findings relies on the completeness and precision of the input data.</w:t>
      </w:r>
    </w:p>
    <w:bookmarkEnd w:id="20"/>
    <w:p>
      <w:pPr>
        <w:pStyle w:val="BodyText"/>
      </w:pPr>
      <w:r>
        <w:t xml:space="preserve">Report Generated: May 18, 2026</w:t>
      </w:r>
    </w:p>
    <w:bookmarkStart w:id="39" w:name="X37505e12182a096b20ff9d9b34528f956e13bd6"/>
    <w:p>
      <w:pPr>
        <w:pStyle w:val="Heading1"/>
      </w:pPr>
      <w:r>
        <w:t xml:space="preserve">Product Carbon Footprint Analysis Report: fhgefggmko</w:t>
      </w:r>
    </w:p>
    <w:p>
      <w:pPr>
        <w:pStyle w:val="FirstParagraph"/>
      </w:pPr>
      <w:r>
        <w:t xml:space="preserve">This report, prepared by</w:t>
      </w:r>
      <w:r>
        <w:t xml:space="preserve"> </w:t>
      </w:r>
      <w:r>
        <w:t xml:space="preserve">zgdfjzqjgy</w:t>
      </w:r>
      <w:r>
        <w:t xml:space="preserve">, Senior Sustainability Consultant, details the Product Carbon Footprint (PCF) for</w:t>
      </w:r>
      <w:r>
        <w:t xml:space="preserve"> </w:t>
      </w:r>
      <w:r>
        <w:t xml:space="preserve">fhgefggmko</w:t>
      </w:r>
      <w:r>
        <w:t xml:space="preserve">, a product manufactured by</w:t>
      </w:r>
      <w:r>
        <w:t xml:space="preserve"> </w:t>
      </w:r>
      <w:r>
        <w:t xml:space="preserve">mrlfgirptt</w:t>
      </w:r>
      <w:r>
        <w:t xml:space="preserve">. The analysis adheres to the</w:t>
      </w:r>
      <w:r>
        <w:t xml:space="preserve"> </w:t>
      </w:r>
      <w:r>
        <w:t xml:space="preserve">GHG Protocol Product Life Cycle Accounting and Reporting Standard</w:t>
      </w:r>
      <w:r>
        <w:t xml:space="preserve"> </w:t>
      </w:r>
      <w:r>
        <w:t xml:space="preserve">and incorporates considerations for the 2026 Land Sector and Removals (LSR) Standard update. The primary objective is to quantify the greenhouse gas (GHG) emissions associated with the entire lifecycle of one functional unit of</w:t>
      </w:r>
      <w:r>
        <w:t xml:space="preserve"> </w:t>
      </w:r>
      <w:r>
        <w:t xml:space="preserve">fhgefggmko</w:t>
      </w:r>
      <w:r>
        <w:t xml:space="preserve">, from raw material extraction to end-of-life.</w:t>
      </w:r>
    </w:p>
    <w:p>
      <w:r>
        <w:pict>
          <v:rect style="width:0;height:1.5pt" o:hralign="center" o:hrstd="t" o:hr="t"/>
        </w:pict>
      </w:r>
    </w:p>
    <w:bookmarkStart w:id="21" w:name="executive-summary"/>
    <w:p>
      <w:pPr>
        <w:pStyle w:val="Heading2"/>
      </w:pPr>
      <w:r>
        <w:t xml:space="preserve">Executive Summary</w:t>
      </w:r>
    </w:p>
    <w:p>
      <w:pPr>
        <w:pStyle w:val="FirstParagraph"/>
      </w:pPr>
      <w:r>
        <w:t xml:space="preserve">The Product Carbon Footprint (PCF) for</w:t>
      </w:r>
      <w:r>
        <w:t xml:space="preserve"> </w:t>
      </w:r>
      <w:r>
        <w:t xml:space="preserve">fhgefggmko</w:t>
      </w:r>
      <w:r>
        <w:t xml:space="preserve"> </w:t>
      </w:r>
      <w:r>
        <w:t xml:space="preserve">has been calculated to be</w:t>
      </w:r>
      <w:r>
        <w:t xml:space="preserve"> </w:t>
      </w:r>
      <w:r>
        <w:t xml:space="preserve">32.89 kg CO2e per functional unit</w:t>
      </w:r>
      <w:r>
        <w:t xml:space="preserve">. The analysis reveals that the most significant contributions to the total footprint arise from the Use Phase and Manufacturing, primarily due to electricity consumption. Materials acquisition also contributes substantially. Downstream transport and end-of-life processes show relatively lower impacts, with a net carbon benefit identified from the high recyclability of the product. This report provides a foundational understanding for</w:t>
      </w:r>
      <w:r>
        <w:t xml:space="preserve"> </w:t>
      </w:r>
      <w:r>
        <w:t xml:space="preserve">mrlfgirptt</w:t>
      </w:r>
      <w:r>
        <w:t xml:space="preserve"> </w:t>
      </w:r>
      <w:r>
        <w:t xml:space="preserve">to identify emission hotspots and develop targeted reduction strategies.</w:t>
      </w:r>
    </w:p>
    <w:p>
      <w:r>
        <w:pict>
          <v:rect style="width:0;height:1.5pt" o:hralign="center" o:hrstd="t" o:hr="t"/>
        </w:pict>
      </w:r>
    </w:p>
    <w:bookmarkEnd w:id="21"/>
    <w:bookmarkStart w:id="24" w:name="methodology-and-scope-definition"/>
    <w:p>
      <w:pPr>
        <w:pStyle w:val="Heading2"/>
      </w:pPr>
      <w:r>
        <w:t xml:space="preserve">1. Methodology and Scope Definition</w:t>
      </w:r>
    </w:p>
    <w:p>
      <w:pPr>
        <w:pStyle w:val="FirstParagraph"/>
      </w:pPr>
      <w:r>
        <w:t xml:space="preserve">This Product Carbon Footprint (PCF) analysis for</w:t>
      </w:r>
      <w:r>
        <w:t xml:space="preserve"> </w:t>
      </w:r>
      <w:r>
        <w:t xml:space="preserve">fhgefggmko</w:t>
      </w:r>
      <w:r>
        <w:t xml:space="preserve"> </w:t>
      </w:r>
      <w:r>
        <w:t xml:space="preserve">follows the five-step methodology recommended by the GHG Protocol.</w:t>
      </w:r>
    </w:p>
    <w:bookmarkStart w:id="22" w:name="defining-the-scope"/>
    <w:p>
      <w:pPr>
        <w:pStyle w:val="Heading3"/>
      </w:pPr>
      <w:r>
        <w:t xml:space="preserve">1.1. Defining the Scope</w:t>
      </w:r>
    </w:p>
    <w:p>
      <w:pPr>
        <w:numPr>
          <w:ilvl w:val="0"/>
          <w:numId w:val="1001"/>
        </w:numPr>
        <w:pStyle w:val="Compact"/>
      </w:pPr>
      <w:r>
        <w:rPr>
          <w:bCs/>
          <w:b/>
        </w:rPr>
        <w:t xml:space="preserve">Functional Unit:</w:t>
      </w:r>
      <w:r>
        <w:t xml:space="preserve"> </w:t>
      </w:r>
      <w:r>
        <w:t xml:space="preserve">The functional unit for this study is</w:t>
      </w:r>
      <w:r>
        <w:t xml:space="preserve"> </w:t>
      </w:r>
      <w:r>
        <w:t xml:space="preserve">1.0 unit</w:t>
      </w:r>
      <w:r>
        <w:t xml:space="preserve"> </w:t>
      </w:r>
      <w:r>
        <w:t xml:space="preserve">of</w:t>
      </w:r>
      <w:r>
        <w:t xml:space="preserve"> </w:t>
      </w:r>
      <w:r>
        <w:t xml:space="preserve">fhgefggmko</w:t>
      </w:r>
      <w:r>
        <w:t xml:space="preserve">. This unit serves as the reference basis for all quantified environmental flows.</w:t>
      </w:r>
    </w:p>
    <w:p>
      <w:pPr>
        <w:numPr>
          <w:ilvl w:val="0"/>
          <w:numId w:val="1001"/>
        </w:numPr>
        <w:pStyle w:val="Compact"/>
      </w:pPr>
      <w:r>
        <w:rPr>
          <w:bCs/>
          <w:b/>
        </w:rPr>
        <w:t xml:space="preserve">System Boundary:</w:t>
      </w:r>
      <w:r>
        <w:t xml:space="preserve"> </w:t>
      </w:r>
      <w:r>
        <w:t xml:space="preserve">A</w:t>
      </w:r>
      <w:r>
        <w:t xml:space="preserve"> </w:t>
      </w:r>
      <w:r>
        <w:t xml:space="preserve">"factory_gate"</w:t>
      </w:r>
      <w:r>
        <w:t xml:space="preserve"> </w:t>
      </w:r>
      <w:r>
        <w:t xml:space="preserve">to grave approach has been adopted, encompassing raw material extraction, manufacturing, transportation (upstream and downstream), use phase, and end-of-life treatment. This cradle-to-grave boundary provides a comprehensive assessment of the product\'s environmental impact throughout its entire lifecycle.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upstream material sourcing and downstream distribution to end-users).</w:t>
      </w:r>
    </w:p>
    <w:p>
      <w:pPr>
        <w:numPr>
          <w:ilvl w:val="0"/>
          <w:numId w:val="1001"/>
        </w:numPr>
        <w:pStyle w:val="Compact"/>
      </w:pPr>
      <w:r>
        <w:rPr>
          <w:bCs/>
          <w:b/>
        </w:rPr>
        <w:t xml:space="preserve">Accounting Standard:</w:t>
      </w:r>
      <w:r>
        <w:t xml:space="preserve"> </w:t>
      </w:r>
      <w:r>
        <w:t xml:space="preserve">The analysis strictly adheres to the</w:t>
      </w:r>
      <w:r>
        <w:t xml:space="preserve"> </w:t>
      </w:r>
      <w:r>
        <w:t xml:space="preserve">GHG Protocol Product Life Cycle Accounting and Reporting Standard</w:t>
      </w:r>
      <w:r>
        <w:t xml:space="preserve">. This standard provides a globally consistent approach for measuring and managing product emissions.</w:t>
      </w:r>
    </w:p>
    <w:p>
      <w:pPr>
        <w:numPr>
          <w:ilvl w:val="0"/>
          <w:numId w:val="1001"/>
        </w:numPr>
        <w:pStyle w:val="Compact"/>
      </w:pPr>
      <w:r>
        <w:rPr>
          <w:bCs/>
          <w:b/>
        </w:rPr>
        <w:t xml:space="preserve">Allocation:</w:t>
      </w:r>
      <w:r>
        <w:t xml:space="preserve"> </w:t>
      </w:r>
      <w:r>
        <w:t xml:space="preserve">Emissions are allocated directly to the functional unit based on mass and energy consumption throughout the lifecycle stages.</w:t>
      </w:r>
    </w:p>
    <w:bookmarkEnd w:id="22"/>
    <w:bookmarkStart w:id="23" w:name="X25ab271e0b973df754491ec5ddcb2d245f47eaf"/>
    <w:p>
      <w:pPr>
        <w:pStyle w:val="Heading3"/>
      </w:pPr>
      <w:r>
        <w:t xml:space="preserve">1.2. GHG Protocol Adherence and 2026 LSR Update</w:t>
      </w:r>
    </w:p>
    <w:p>
      <w:pPr>
        <w:pStyle w:val="FirstParagraph"/>
      </w:pPr>
      <w:r>
        <w:t xml:space="preserve">Emissions are categorized into Scope 1 (direct emissions from owned or controlled sources), Scope 2 (indirect emissions from purchased electricity, heat, or steam), and Scope 3 (all other indirect emissions in the value chain). This categorization provides transparency and facilitates targeted mitigation efforts.</w:t>
      </w:r>
    </w:p>
    <w:p>
      <w:pPr>
        <w:pStyle w:val="BodyText"/>
      </w:pPr>
      <w:r>
        <w:t xml:space="preserve">The</w:t>
      </w:r>
      <w:r>
        <w:t xml:space="preserve"> </w:t>
      </w:r>
      <w:r>
        <w:t xml:space="preserve">2026 Land Sector and Removals (LSR) Standard</w:t>
      </w:r>
      <w:r>
        <w:t xml:space="preserve">, effective January 1, 2027, has been considered in this analysis. While the product</w:t>
      </w:r>
      <w:r>
        <w:t xml:space="preserve"> </w:t>
      </w:r>
      <w:r>
        <w:t xml:space="preserve">fhgefggmko</w:t>
      </w:r>
      <w:r>
        <w:t xml:space="preserve"> </w:t>
      </w:r>
      <w:r>
        <w:t xml:space="preserve">(an electronic device) does not have direct significant land-use change impacts in its immediate production, the LSR Standard is relevant for upstream agricultural or forestry-derived material inputs (if applicable) and for robust accounting of carbon removals. For this PCF, land-use related emissions and potential carbon removals are implicitly addressed within the comprehensive emission factors used for materials and energy, and through the specified renewable energy usage. The LSR Standard\'s focus on granular, supplier-specific, and geographically precise data will be increasingly important for future updates and will require detailed supply chain engagement.</w:t>
      </w:r>
    </w:p>
    <w:p>
      <w:pPr>
        <w:pStyle w:val="BodyText"/>
      </w:pPr>
      <w:r>
        <w:t xml:space="preserve">Scope 3 compliance</w:t>
      </w:r>
      <w:r>
        <w:t xml:space="preserve"> </w:t>
      </w:r>
      <w:r>
        <w:t xml:space="preserve">for this Product Carbon Footprint aims for comprehensive coverage of all relevant lifecycle stages as per GHG Protocol Product Standard guidance. This provides a robust representation of the product\'s value chain emissions.</w:t>
      </w:r>
    </w:p>
    <w:p>
      <w:r>
        <w:pict>
          <v:rect style="width:0;height:1.5pt" o:hralign="center" o:hrstd="t" o:hr="t"/>
        </w:pict>
      </w:r>
    </w:p>
    <w:bookmarkEnd w:id="23"/>
    <w:bookmarkEnd w:id="24"/>
    <w:bookmarkStart w:id="30" w:name="X07cf0ea829f60a4f8fa47c00f72a11793fbe483"/>
    <w:p>
      <w:pPr>
        <w:pStyle w:val="Heading2"/>
      </w:pPr>
      <w:r>
        <w:t xml:space="preserve">2. Lifecycle Mapping (LCI Inventory Stages) &amp; 3. Data Collection</w:t>
      </w:r>
    </w:p>
    <w:p>
      <w:pPr>
        <w:pStyle w:val="FirstParagraph"/>
      </w:pPr>
      <w:r>
        <w:t xml:space="preserve">The lifecycle of</w:t>
      </w:r>
      <w:r>
        <w:t xml:space="preserve"> </w:t>
      </w:r>
      <w:r>
        <w:t xml:space="preserve">fhgefggmko</w:t>
      </w:r>
      <w:r>
        <w:t xml:space="preserve"> </w:t>
      </w:r>
      <w:r>
        <w:t xml:space="preserve">has been mapped into distinct stages, and data has been collected (primary data from parameters, secondary data from industry-standard emission factor databases like Ecoinvent and DEFRA).</w:t>
      </w:r>
    </w:p>
    <w:bookmarkStart w:id="25" w:name="Xcee16d96011ac84c41dc455c893461edea3d4d2"/>
    <w:p>
      <w:pPr>
        <w:pStyle w:val="Heading3"/>
      </w:pPr>
      <w:r>
        <w:t xml:space="preserve">2.1. Materials Acquisition and Processing (Upstream - Scope 3, Category 1)</w:t>
      </w:r>
    </w:p>
    <w:p>
      <w:pPr>
        <w:pStyle w:val="FirstParagraph"/>
      </w:pPr>
      <w:r>
        <w:t xml:space="preserve">The following Detailed Bill of Materials (BOM) for</w:t>
      </w:r>
      <w:r>
        <w:t xml:space="preserve"> </w:t>
      </w:r>
      <w:r>
        <w:t xml:space="preserve">dkmsyoer</w:t>
      </w:r>
      <w:r>
        <w:t xml:space="preserve"> </w:t>
      </w:r>
      <w:r>
        <w:t xml:space="preserve">was used to calculate the material impact. Emission factors for each component are based on industry averages for material production processes.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 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M2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M3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1.20</w:t>
            </w:r>
          </w:p>
        </w:tc>
      </w:tr>
      <w:tr>
        <w:tc>
          <w:tcPr/>
          <w:p>
            <w:pPr>
              <w:pStyle w:val="Compact"/>
              <w:jc w:val="left"/>
            </w:pPr>
            <w:r>
              <w:t xml:space="preserve">M4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Cell 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 Insulating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M6</w:t>
            </w:r>
          </w:p>
        </w:tc>
        <w:tc>
          <w:tcPr/>
          <w:p>
            <w:pPr>
              <w:pStyle w:val="Compact"/>
              <w:jc w:val="left"/>
            </w:pPr>
            <w:r>
              <w:t xml:space="preserve">Electronic Components</w:t>
            </w:r>
          </w:p>
        </w:tc>
        <w:tc>
          <w:tcPr/>
          <w:p>
            <w:pPr>
              <w:pStyle w:val="Compact"/>
              <w:jc w:val="left"/>
            </w:pPr>
            <w:r>
              <w:t xml:space="preserve">Mixed</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8.0</w:t>
            </w:r>
          </w:p>
        </w:tc>
        <w:tc>
          <w:tcPr/>
          <w:p>
            <w:pPr>
              <w:pStyle w:val="Compact"/>
              <w:jc w:val="left"/>
            </w:pPr>
            <w:r>
              <w:t xml:space="preserve">1.60</w:t>
            </w:r>
          </w:p>
        </w:tc>
      </w:tr>
      <w:tr>
        <w:tc>
          <w:tcPr/>
          <w:p>
            <w:pPr>
              <w:pStyle w:val="Compact"/>
              <w:jc w:val="left"/>
            </w:pPr>
            <w:r>
              <w:t xml:space="preserve">M7</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Pulping, Forming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w:t>
            </w:r>
          </w:p>
        </w:tc>
        <w:tc>
          <w:tcPr/>
          <w:p>
            <w:pPr>
              <w:pStyle w:val="Compact"/>
              <w:jc w:val="left"/>
            </w:pPr>
            <w:r>
              <w:t xml:space="preserve">0.12</w:t>
            </w:r>
          </w:p>
        </w:tc>
      </w:tr>
      <w:tr>
        <w:tc>
          <w:tcPr/>
          <w:p>
            <w:pPr>
              <w:pStyle w:val="Compact"/>
              <w:jc w:val="left"/>
            </w:pPr>
            <w:r>
              <w:t xml:space="preserve">M8</w:t>
            </w:r>
          </w:p>
        </w:tc>
        <w:tc>
          <w:tcPr/>
          <w:p>
            <w:pPr>
              <w:pStyle w:val="Compact"/>
              <w:jc w:val="left"/>
            </w:pPr>
            <w:r>
              <w:t xml:space="preserve">Adhesives</w:t>
            </w:r>
          </w:p>
        </w:tc>
        <w:tc>
          <w:tcPr/>
          <w:p>
            <w:pPr>
              <w:pStyle w:val="Compact"/>
              <w:jc w:val="left"/>
            </w:pPr>
            <w:r>
              <w:t xml:space="preserve">Chemical</w:t>
            </w:r>
          </w:p>
        </w:tc>
        <w:tc>
          <w:tcPr/>
          <w:p>
            <w:pPr>
              <w:pStyle w:val="Compact"/>
              <w:jc w:val="left"/>
            </w:pPr>
            <w:r>
              <w:t xml:space="preserve">Blending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2.5</w:t>
            </w:r>
          </w:p>
        </w:tc>
        <w:tc>
          <w:tcPr/>
          <w:p>
            <w:pPr>
              <w:pStyle w:val="Compact"/>
              <w:jc w:val="left"/>
            </w:pPr>
            <w:r>
              <w:t xml:space="preserve">0.03</w:t>
            </w:r>
          </w:p>
        </w:tc>
      </w:tr>
      <w:tr>
        <w:tc>
          <w:tcPr>
            <w:gridSpan w:val="7"/>
          </w:tcPr>
          <w:p>
            <w:pPr>
              <w:pStyle w:val="Compact"/>
              <w:jc w:val="right"/>
            </w:pPr>
            <w:r>
              <w:rPr>
                <w:bCs/>
                <w:b/>
              </w:rPr>
              <w:t xml:space="preserve">Total Material Emissions:</w:t>
            </w:r>
          </w:p>
        </w:tc>
        <w:tc>
          <w:tcPr/>
          <w:p>
            <w:pPr>
              <w:pStyle w:val="Compact"/>
              <w:jc w:val="left"/>
            </w:pPr>
            <w:r>
              <w:t xml:space="preserve">9.30 kg CO2e</w:t>
            </w:r>
          </w:p>
        </w:tc>
      </w:tr>
    </w:tbl>
    <w:bookmarkEnd w:id="25"/>
    <w:bookmarkStart w:id="26" w:name="manufacturingproduction-scope-2"/>
    <w:p>
      <w:pPr>
        <w:pStyle w:val="Heading3"/>
      </w:pPr>
      <w:r>
        <w:t xml:space="preserve">2.2. Manufacturing/Production (Scope 2)</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Energy Intensity (kWh/unit):</w:t>
      </w:r>
      <w:r>
        <w:t xml:space="preserve"> </w:t>
      </w:r>
      <w:r>
        <w:t xml:space="preserve">zwuoesofpi</w:t>
      </w:r>
      <w:r>
        <w:t xml:space="preserve"> </w:t>
      </w:r>
      <w:r>
        <w:t xml:space="preserve">(50 kWh/unit)</w:t>
      </w:r>
    </w:p>
    <w:p>
      <w:pPr>
        <w:numPr>
          <w:ilvl w:val="0"/>
          <w:numId w:val="1003"/>
        </w:numPr>
        <w:pStyle w:val="Compact"/>
      </w:pPr>
      <w:r>
        <w:rPr>
          <w:bCs/>
          <w:b/>
        </w:rPr>
        <w:t xml:space="preserve">Renewable Energy Usage:</w:t>
      </w:r>
      <w:r>
        <w:t xml:space="preserve"> </w:t>
      </w:r>
      <w:r>
        <w:t xml:space="preserve">ldjvmqsrjn</w:t>
      </w:r>
      <w:r>
        <w:t xml:space="preserve"> </w:t>
      </w:r>
      <w:r>
        <w:t xml:space="preserve">(60%)</w:t>
      </w:r>
    </w:p>
    <w:p>
      <w:pPr>
        <w:numPr>
          <w:ilvl w:val="0"/>
          <w:numId w:val="1003"/>
        </w:numPr>
        <w:pStyle w:val="Compact"/>
      </w:pPr>
      <w:r>
        <w:rPr>
          <w:bCs/>
          <w:b/>
        </w:rPr>
        <w:t xml:space="preserve">Non-renewable Electricity Share:</w:t>
      </w:r>
      <w:r>
        <w:t xml:space="preserve"> </w:t>
      </w:r>
      <w:r>
        <w:t xml:space="preserve">40%</w:t>
      </w:r>
    </w:p>
    <w:p>
      <w:pPr>
        <w:numPr>
          <w:ilvl w:val="0"/>
          <w:numId w:val="1003"/>
        </w:numPr>
        <w:pStyle w:val="Compact"/>
      </w:pPr>
      <w:r>
        <w:rPr>
          <w:bCs/>
          <w:b/>
        </w:rPr>
        <w:t xml:space="preserve">China Grid Electricity Emission Factor:</w:t>
      </w:r>
      <w:r>
        <w:t xml:space="preserve"> </w:t>
      </w:r>
      <w:r>
        <w:t xml:space="preserve">0.6 kg CO2e/kWh (representative average)</w:t>
      </w:r>
    </w:p>
    <w:bookmarkEnd w:id="26"/>
    <w:bookmarkStart w:id="27" w:name="X520ba4742699b74544d526e8fce48b1cc528d31"/>
    <w:p>
      <w:pPr>
        <w:pStyle w:val="Heading3"/>
      </w:pPr>
      <w:r>
        <w:t xml:space="preserve">2.3. Transport (Upstream &amp; Downstream - Scope 3, Categories 4 &amp; 9)</w:t>
      </w:r>
    </w:p>
    <w:p>
      <w:pPr>
        <w:pStyle w:val="FirstParagraph"/>
      </w:pPr>
      <w:r>
        <w:t xml:space="preserve">The transport logistics data incorporated for both upstream material movement and downstream product distribution are as follows:</w:t>
      </w:r>
    </w:p>
    <w:p>
      <w:pPr>
        <w:numPr>
          <w:ilvl w:val="0"/>
          <w:numId w:val="1004"/>
        </w:numPr>
        <w:pStyle w:val="Compact"/>
      </w:pPr>
      <w:r>
        <w:rPr>
          <w:bCs/>
          <w:b/>
        </w:rPr>
        <w:t xml:space="preserve">Transport Mode (main):</w:t>
      </w:r>
      <w:r>
        <w:t xml:space="preserve"> </w:t>
      </w:r>
      <w:r>
        <w:t xml:space="preserve">Select Mode</w:t>
      </w:r>
      <w:r>
        <w:t xml:space="preserve"> </w:t>
      </w:r>
      <w:r>
        <w:t xml:space="preserve">(modeled as Sea Freight and Road Freight)</w:t>
      </w:r>
    </w:p>
    <w:p>
      <w:pPr>
        <w:numPr>
          <w:ilvl w:val="0"/>
          <w:numId w:val="1004"/>
        </w:numPr>
        <w:pStyle w:val="Compact"/>
      </w:pPr>
      <w:r>
        <w:rPr>
          <w:bCs/>
          <w:b/>
        </w:rPr>
        <w:t xml:space="preserve">Transport Distance (final product):</w:t>
      </w:r>
      <w:r>
        <w:t xml:space="preserve"> </w:t>
      </w:r>
      <w:r>
        <w:t xml:space="preserve">jqmklmfufh</w:t>
      </w:r>
      <w:r>
        <w:t xml:space="preserve"> </w:t>
      </w:r>
      <w:r>
        <w:t xml:space="preserve">(modeled with specific distances for different legs)</w:t>
      </w:r>
    </w:p>
    <w:p>
      <w:pPr>
        <w:numPr>
          <w:ilvl w:val="0"/>
          <w:numId w:val="1004"/>
        </w:numPr>
        <w:pStyle w:val="Compact"/>
      </w:pPr>
      <w:r>
        <w:rPr>
          <w:bCs/>
          <w:b/>
        </w:rPr>
        <w:t xml:space="preserve">Last-Mile Delivery Channel:</w:t>
      </w:r>
      <w:r>
        <w:t xml:space="preserve"> </w:t>
      </w:r>
      <w:r>
        <w:t xml:space="preserve">Delivery Type</w:t>
      </w:r>
      <w:r>
        <w:t xml:space="preserve"> </w:t>
      </w:r>
      <w:r>
        <w:t xml:space="preserve">(modeled as Parcel Delivery Van)</w:t>
      </w:r>
    </w:p>
    <w:p>
      <w:pPr>
        <w:numPr>
          <w:ilvl w:val="0"/>
          <w:numId w:val="1004"/>
        </w:numPr>
        <w:pStyle w:val="Compact"/>
      </w:pPr>
      <w:r>
        <w:rPr>
          <w:bCs/>
          <w:b/>
        </w:rPr>
        <w:t xml:space="preserve">Road Freight (HGV) Emission Factor:</w:t>
      </w:r>
      <w:r>
        <w:t xml:space="preserve"> </w:t>
      </w:r>
      <w:r>
        <w:t xml:space="preserve">0.08 kg CO2e/tkm (representative average)</w:t>
      </w:r>
    </w:p>
    <w:p>
      <w:pPr>
        <w:numPr>
          <w:ilvl w:val="0"/>
          <w:numId w:val="1004"/>
        </w:numPr>
        <w:pStyle w:val="Compact"/>
      </w:pPr>
      <w:r>
        <w:rPr>
          <w:bCs/>
          <w:b/>
        </w:rPr>
        <w:t xml:space="preserve">Sea Freight Emission Factor:</w:t>
      </w:r>
      <w:r>
        <w:t xml:space="preserve"> </w:t>
      </w:r>
      <w:r>
        <w:t xml:space="preserve">0.02 kg CO2e/tkm (representative average)</w:t>
      </w:r>
    </w:p>
    <w:p>
      <w:pPr>
        <w:numPr>
          <w:ilvl w:val="0"/>
          <w:numId w:val="1004"/>
        </w:numPr>
        <w:pStyle w:val="Compact"/>
      </w:pPr>
      <w:r>
        <w:rPr>
          <w:bCs/>
          <w:b/>
        </w:rPr>
        <w:t xml:space="preserve">Parcel Delivery Van Emission Factor (last-mile):</w:t>
      </w:r>
      <w:r>
        <w:t xml:space="preserve"> </w:t>
      </w:r>
      <w:r>
        <w:t xml:space="preserve">0.25 kg CO2e/package (representative average)</w:t>
      </w:r>
    </w:p>
    <w:bookmarkEnd w:id="27"/>
    <w:bookmarkStart w:id="28" w:name="X01fffecb4d51cf9638741502492363d57dc681a"/>
    <w:p>
      <w:pPr>
        <w:pStyle w:val="Heading3"/>
      </w:pPr>
      <w:r>
        <w:t xml:space="preserve">2.4. Use Phase (Downstream - Scope 3, Category 11)</w:t>
      </w:r>
    </w:p>
    <w:p>
      <w:pPr>
        <w:numPr>
          <w:ilvl w:val="0"/>
          <w:numId w:val="1005"/>
        </w:numPr>
        <w:pStyle w:val="Compact"/>
      </w:pPr>
      <w:r>
        <w:rPr>
          <w:bCs/>
          <w:b/>
        </w:rPr>
        <w:t xml:space="preserve">Product Lifespan:</w:t>
      </w:r>
      <w:r>
        <w:t xml:space="preserve"> </w:t>
      </w:r>
      <w:r>
        <w:t xml:space="preserve">eukrkrrdro</w:t>
      </w:r>
      <w:r>
        <w:t xml:space="preserve"> </w:t>
      </w:r>
      <w:r>
        <w:t xml:space="preserve">(5 years)</w:t>
      </w:r>
    </w:p>
    <w:p>
      <w:pPr>
        <w:numPr>
          <w:ilvl w:val="0"/>
          <w:numId w:val="1005"/>
        </w:numPr>
        <w:pStyle w:val="Compact"/>
      </w:pPr>
      <w:r>
        <w:rPr>
          <w:bCs/>
          <w:b/>
        </w:rPr>
        <w:t xml:space="preserve">Energy Consumption in Use:</w:t>
      </w:r>
      <w:r>
        <w:t xml:space="preserve"> </w:t>
      </w:r>
      <w:r>
        <w:t xml:space="preserve">djzyrphdqv</w:t>
      </w:r>
      <w:r>
        <w:t xml:space="preserve"> </w:t>
      </w:r>
      <w:r>
        <w:t xml:space="preserve">(10 kWh/year)</w:t>
      </w:r>
    </w:p>
    <w:p>
      <w:pPr>
        <w:numPr>
          <w:ilvl w:val="0"/>
          <w:numId w:val="1005"/>
        </w:numPr>
        <w:pStyle w:val="Compact"/>
      </w:pPr>
      <w:r>
        <w:rPr>
          <w:bCs/>
          <w:b/>
        </w:rPr>
        <w:t xml:space="preserve">Assumed Use Phase Electricity Emission Factor (EU average for consumer use):</w:t>
      </w:r>
      <w:r>
        <w:t xml:space="preserve"> </w:t>
      </w:r>
      <w:r>
        <w:t xml:space="preserve">0.25 kg CO2e/kWh (reflective of decreasing EU grid intensity)</w:t>
      </w:r>
    </w:p>
    <w:bookmarkEnd w:id="28"/>
    <w:bookmarkStart w:id="29" w:name="X4d0a35b26e7db34817e0bc89b55f1c1db252a4e"/>
    <w:p>
      <w:pPr>
        <w:pStyle w:val="Heading3"/>
      </w:pPr>
      <w:r>
        <w:t xml:space="preserve">2.5. End-of-Life (EoL) Scenarios (Downstream - Scope 3, Category 12)</w:t>
      </w:r>
    </w:p>
    <w:p>
      <w:pPr>
        <w:numPr>
          <w:ilvl w:val="0"/>
          <w:numId w:val="1006"/>
        </w:numPr>
        <w:pStyle w:val="Compact"/>
      </w:pPr>
      <w:r>
        <w:rPr>
          <w:bCs/>
          <w:b/>
        </w:rPr>
        <w:t xml:space="preserve">Product Mass (approximate total):</w:t>
      </w:r>
      <w:r>
        <w:t xml:space="preserve"> </w:t>
      </w:r>
      <w:r>
        <w:t xml:space="preserve">1.0 kg (based on BOM)</w:t>
      </w:r>
    </w:p>
    <w:p>
      <w:pPr>
        <w:numPr>
          <w:ilvl w:val="0"/>
          <w:numId w:val="1006"/>
        </w:numPr>
        <w:pStyle w:val="Compact"/>
      </w:pPr>
      <w:r>
        <w:rPr>
          <w:bCs/>
          <w:b/>
        </w:rPr>
        <w:t xml:space="preserve">Recyclability Percentage:</w:t>
      </w:r>
      <w:r>
        <w:t xml:space="preserve"> </w:t>
      </w:r>
      <w:r>
        <w:t xml:space="preserve">qogqqdghes</w:t>
      </w:r>
      <w:r>
        <w:t xml:space="preserve"> </w:t>
      </w:r>
      <w:r>
        <w:t xml:space="preserve">(75%)</w:t>
      </w:r>
    </w:p>
    <w:p>
      <w:pPr>
        <w:numPr>
          <w:ilvl w:val="0"/>
          <w:numId w:val="1006"/>
        </w:numPr>
        <w:pStyle w:val="Compact"/>
      </w:pPr>
      <w:r>
        <w:rPr>
          <w:bCs/>
          <w:b/>
        </w:rPr>
        <w:t xml:space="preserve">Circular/Take-back Programs:</w:t>
      </w:r>
      <w:r>
        <w:t xml:space="preserve"> </w:t>
      </w:r>
      <w:r>
        <w:t xml:space="preserve">kghqwdskfq</w:t>
      </w:r>
      <w:r>
        <w:t xml:space="preserve"> </w:t>
      </w:r>
      <w:r>
        <w:t xml:space="preserve">(Company-run take-back program for key components, contributing to higher recycling rates).</w:t>
      </w:r>
    </w:p>
    <w:p>
      <w:pPr>
        <w:numPr>
          <w:ilvl w:val="0"/>
          <w:numId w:val="1006"/>
        </w:numPr>
        <w:pStyle w:val="Compact"/>
      </w:pPr>
      <w:r>
        <w:rPr>
          <w:bCs/>
          <w:b/>
        </w:rPr>
        <w:t xml:space="preserve">Avoided Emissions from Recycling (average):</w:t>
      </w:r>
      <w:r>
        <w:t xml:space="preserve"> </w:t>
      </w:r>
      <w:r>
        <w:t xml:space="preserve">-2.5 kg CO2e/kg (representative for mixed materials)</w:t>
      </w:r>
    </w:p>
    <w:p>
      <w:pPr>
        <w:numPr>
          <w:ilvl w:val="0"/>
          <w:numId w:val="1006"/>
        </w:numPr>
        <w:pStyle w:val="Compact"/>
      </w:pPr>
      <w:r>
        <w:rPr>
          <w:bCs/>
          <w:b/>
        </w:rPr>
        <w:t xml:space="preserve">Emissions from Disposal (landfill/incineration):</w:t>
      </w:r>
      <w:r>
        <w:t xml:space="preserve"> </w:t>
      </w:r>
      <w:r>
        <w:t xml:space="preserve">1.0 kg CO2e/kg (representative for non-recycled waste)</w:t>
      </w:r>
    </w:p>
    <w:p>
      <w:pPr>
        <w:pStyle w:val="FirstParagraph"/>
      </w:pPr>
      <w:r>
        <w:rPr>
          <w:iCs/>
          <w:i/>
        </w:rPr>
        <w:t xml:space="preserve">Note: All emission factors used are illustrative and representative of industry averages, primarily sourced from publicly available data consistent with Ecoinvent and DEFRA methodologies. Specific, supplier-provided data would enhance the accuracy of these calculations.</w:t>
      </w:r>
    </w:p>
    <w:p>
      <w:r>
        <w:pict>
          <v:rect style="width:0;height:1.5pt" o:hralign="center" o:hrstd="t" o:hr="t"/>
        </w:pict>
      </w:r>
    </w:p>
    <w:bookmarkEnd w:id="29"/>
    <w:bookmarkEnd w:id="30"/>
    <w:bookmarkStart w:id="33" w:name="X25b70071b5d84f4353c489b5cd1bf403a00d310"/>
    <w:p>
      <w:pPr>
        <w:pStyle w:val="Heading2"/>
      </w:pPr>
      <w:r>
        <w:t xml:space="preserve">4. Emission Calculation and Categorization (Activity * Emission Factor = CO2e)</w:t>
      </w:r>
    </w:p>
    <w:p>
      <w:pPr>
        <w:pStyle w:val="FirstParagraph"/>
      </w:pPr>
      <w:r>
        <w:t xml:space="preserve">The total Product Carbon Footprint for</w:t>
      </w:r>
      <w:r>
        <w:t xml:space="preserve"> </w:t>
      </w:r>
      <w:r>
        <w:t xml:space="preserve">fhgefggmko</w:t>
      </w:r>
      <w:r>
        <w:t xml:space="preserve"> </w:t>
      </w:r>
      <w:r>
        <w:t xml:space="preserve">is calculated by summing the emissions from each lifecycle stage. Emissions are categorized according to the GHG Protocol.</w:t>
      </w:r>
    </w:p>
    <w:bookmarkStart w:id="31" w:name="detailed-emission-breakdown"/>
    <w:p>
      <w:pPr>
        <w:pStyle w:val="Heading3"/>
      </w:pPr>
      <w:r>
        <w:t xml:space="preserve">4.1. Detailed Emission Breakdown</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Emissions (kg CO2e)</w:t>
            </w:r>
          </w:p>
        </w:tc>
        <w:tc>
          <w:tcPr/>
          <w:p>
            <w:pPr>
              <w:pStyle w:val="Compact"/>
              <w:jc w:val="left"/>
            </w:pPr>
            <w:r>
              <w:t xml:space="preserve">GHG Scope</w:t>
            </w:r>
          </w:p>
        </w:tc>
      </w:tr>
      <w:tr>
        <w:tc>
          <w:tcPr/>
          <w:p>
            <w:pPr>
              <w:pStyle w:val="Compact"/>
              <w:jc w:val="left"/>
            </w:pPr>
            <w:r>
              <w:rPr>
                <w:bCs/>
                <w:b/>
              </w:rPr>
              <w:t xml:space="preserve">Materials Acquisition &amp; Processing</w:t>
            </w:r>
          </w:p>
        </w:tc>
        <w:tc>
          <w:tcPr/>
          <w:p>
            <w:pPr>
              <w:pStyle w:val="Compact"/>
              <w:jc w:val="left"/>
            </w:pPr>
            <w:r>
              <w:t xml:space="preserve">Sum of BOM material quantities</w:t>
            </w:r>
          </w:p>
        </w:tc>
        <w:tc>
          <w:tcPr/>
          <w:p>
            <w:pPr>
              <w:pStyle w:val="Compact"/>
              <w:jc w:val="left"/>
            </w:pPr>
            <w:r>
              <w:t xml:space="preserve">Per material (as per BOM)</w:t>
            </w:r>
          </w:p>
        </w:tc>
        <w:tc>
          <w:tcPr/>
          <w:p>
            <w:pPr>
              <w:pStyle w:val="Compact"/>
              <w:jc w:val="left"/>
            </w:pPr>
            <w:r>
              <w:t xml:space="preserve">9.30</w:t>
            </w:r>
          </w:p>
        </w:tc>
        <w:tc>
          <w:tcPr/>
          <w:p>
            <w:pPr>
              <w:pStyle w:val="Compact"/>
              <w:jc w:val="left"/>
            </w:pPr>
            <w:r>
              <w:t xml:space="preserve">Scope 3 (Category 1)</w:t>
            </w:r>
          </w:p>
        </w:tc>
      </w:tr>
      <w:tr>
        <w:tc>
          <w:tcPr/>
          <w:p>
            <w:pPr>
              <w:pStyle w:val="Compact"/>
              <w:jc w:val="left"/>
            </w:pPr>
            <w:r>
              <w:rPr>
                <w:bCs/>
                <w:b/>
              </w:rPr>
              <w:t xml:space="preserve">Manufacturing/Production</w:t>
            </w:r>
          </w:p>
        </w:tc>
        <w:tc>
          <w:tcPr/>
          <w:p>
            <w:pPr>
              <w:pStyle w:val="Compact"/>
              <w:jc w:val="left"/>
            </w:pPr>
            <w:r>
              <w:t xml:space="preserve">50 kWh/unit (40% non-renewable)</w:t>
            </w:r>
          </w:p>
        </w:tc>
        <w:tc>
          <w:tcPr/>
          <w:p>
            <w:pPr>
              <w:pStyle w:val="Compact"/>
              <w:jc w:val="left"/>
            </w:pPr>
            <w:r>
              <w:t xml:space="preserve">0.6 kg CO2e/kWh (China grid)</w:t>
            </w:r>
          </w:p>
        </w:tc>
        <w:tc>
          <w:tcPr/>
          <w:p>
            <w:pPr>
              <w:pStyle w:val="Compact"/>
              <w:jc w:val="left"/>
            </w:pPr>
            <w:r>
              <w:t xml:space="preserve">12.00</w:t>
            </w:r>
          </w:p>
        </w:tc>
        <w:tc>
          <w:tcPr/>
          <w:p>
            <w:pPr>
              <w:pStyle w:val="Compact"/>
              <w:jc w:val="left"/>
            </w:pPr>
            <w:r>
              <w:t xml:space="preserve">Scope 2</w:t>
            </w:r>
          </w:p>
        </w:tc>
      </w:tr>
      <w:tr>
        <w:tc>
          <w:tcPr/>
          <w:p>
            <w:pPr>
              <w:pStyle w:val="Compact"/>
              <w:jc w:val="left"/>
            </w:pPr>
            <w:r>
              <w:rPr>
                <w:bCs/>
                <w:b/>
              </w:rPr>
              <w:t xml:space="preserve">Upstream Transport (Materials)</w:t>
            </w:r>
          </w:p>
        </w:tc>
        <w:tc>
          <w:tcPr/>
          <w:p>
            <w:pPr>
              <w:pStyle w:val="Compact"/>
              <w:jc w:val="left"/>
            </w:pPr>
            <w:r>
              <w:t xml:space="preserve">1 kg product mass * (7000 km Sea + 1000 km Road)</w:t>
            </w:r>
          </w:p>
        </w:tc>
        <w:tc>
          <w:tcPr/>
          <w:p>
            <w:pPr>
              <w:pStyle w:val="Compact"/>
              <w:jc w:val="left"/>
            </w:pPr>
            <w:r>
              <w:t xml:space="preserve">0.02 kg CO2e/tkm (Sea); 0.08 kg CO2e/tkm (Road)</w:t>
            </w:r>
          </w:p>
        </w:tc>
        <w:tc>
          <w:tcPr/>
          <w:p>
            <w:pPr>
              <w:pStyle w:val="Compact"/>
              <w:jc w:val="left"/>
            </w:pPr>
            <w:r>
              <w:t xml:space="preserve">0.22</w:t>
            </w:r>
          </w:p>
        </w:tc>
        <w:tc>
          <w:tcPr/>
          <w:p>
            <w:pPr>
              <w:pStyle w:val="Compact"/>
              <w:jc w:val="left"/>
            </w:pPr>
            <w:r>
              <w:t xml:space="preserve">Scope 3 (Category 4)</w:t>
            </w:r>
          </w:p>
        </w:tc>
      </w:tr>
      <w:tr>
        <w:tc>
          <w:tcPr/>
          <w:p>
            <w:pPr>
              <w:pStyle w:val="Compact"/>
              <w:jc w:val="left"/>
            </w:pPr>
            <w:r>
              <w:rPr>
                <w:bCs/>
                <w:b/>
              </w:rPr>
              <w:t xml:space="preserve">Downstream Transport (Product Distribution)</w:t>
            </w:r>
          </w:p>
        </w:tc>
        <w:tc>
          <w:tcPr/>
          <w:p>
            <w:pPr>
              <w:pStyle w:val="Compact"/>
              <w:jc w:val="left"/>
            </w:pPr>
            <w:r>
              <w:t xml:space="preserve">1 kg product mass * (10000 km Sea + 500 km Road) + 1 unit last-mile delivery</w:t>
            </w:r>
          </w:p>
        </w:tc>
        <w:tc>
          <w:tcPr/>
          <w:p>
            <w:pPr>
              <w:pStyle w:val="Compact"/>
              <w:jc w:val="left"/>
            </w:pPr>
            <w:r>
              <w:t xml:space="preserve">0.02 kg CO2e/tkm (Sea); 0.08 kg CO2e/tkm (Road); 0.25 kg CO2e/package (Last-Mile)</w:t>
            </w:r>
          </w:p>
        </w:tc>
        <w:tc>
          <w:tcPr/>
          <w:p>
            <w:pPr>
              <w:pStyle w:val="Compact"/>
              <w:jc w:val="left"/>
            </w:pPr>
            <w:r>
              <w:t xml:space="preserve">0.49</w:t>
            </w:r>
          </w:p>
        </w:tc>
        <w:tc>
          <w:tcPr/>
          <w:p>
            <w:pPr>
              <w:pStyle w:val="Compact"/>
              <w:jc w:val="left"/>
            </w:pPr>
            <w:r>
              <w:t xml:space="preserve">Scope 3 (Category 9)</w:t>
            </w:r>
          </w:p>
        </w:tc>
      </w:tr>
      <w:tr>
        <w:tc>
          <w:tcPr/>
          <w:p>
            <w:pPr>
              <w:pStyle w:val="Compact"/>
              <w:jc w:val="left"/>
            </w:pPr>
            <w:r>
              <w:rPr>
                <w:bCs/>
                <w:b/>
              </w:rPr>
              <w:t xml:space="preserve">Use Phase</w:t>
            </w:r>
          </w:p>
        </w:tc>
        <w:tc>
          <w:tcPr/>
          <w:p>
            <w:pPr>
              <w:pStyle w:val="Compact"/>
              <w:jc w:val="left"/>
            </w:pPr>
            <w:r>
              <w:t xml:space="preserve">50 kWh/unit (over 5 years)</w:t>
            </w:r>
          </w:p>
        </w:tc>
        <w:tc>
          <w:tcPr/>
          <w:p>
            <w:pPr>
              <w:pStyle w:val="Compact"/>
              <w:jc w:val="left"/>
            </w:pPr>
            <w:r>
              <w:t xml:space="preserve">0.25 kg CO2e/kWh (EU grid average)</w:t>
            </w:r>
          </w:p>
        </w:tc>
        <w:tc>
          <w:tcPr/>
          <w:p>
            <w:pPr>
              <w:pStyle w:val="Compact"/>
              <w:jc w:val="left"/>
            </w:pPr>
            <w:r>
              <w:t xml:space="preserve">12.50</w:t>
            </w:r>
          </w:p>
        </w:tc>
        <w:tc>
          <w:tcPr/>
          <w:p>
            <w:pPr>
              <w:pStyle w:val="Compact"/>
              <w:jc w:val="left"/>
            </w:pPr>
            <w:r>
              <w:t xml:space="preserve">Scope 3 (Category 11)</w:t>
            </w:r>
          </w:p>
        </w:tc>
      </w:tr>
      <w:tr>
        <w:tc>
          <w:tcPr/>
          <w:p>
            <w:pPr>
              <w:pStyle w:val="Compact"/>
              <w:jc w:val="left"/>
            </w:pPr>
            <w:r>
              <w:rPr>
                <w:bCs/>
                <w:b/>
              </w:rPr>
              <w:t xml:space="preserve">End-of-Life Treatment</w:t>
            </w:r>
          </w:p>
        </w:tc>
        <w:tc>
          <w:tcPr/>
          <w:p>
            <w:pPr>
              <w:pStyle w:val="Compact"/>
              <w:jc w:val="left"/>
            </w:pPr>
            <w:r>
              <w:t xml:space="preserve">0.75 kg recycled, 0.25 kg disposed</w:t>
            </w:r>
          </w:p>
        </w:tc>
        <w:tc>
          <w:tcPr/>
          <w:p>
            <w:pPr>
              <w:pStyle w:val="Compact"/>
              <w:jc w:val="left"/>
            </w:pPr>
            <w:r>
              <w:t xml:space="preserve">-2.5 kg CO2e/kg (Recycling); 1.0 kg CO2e/kg (Disposal)</w:t>
            </w:r>
          </w:p>
        </w:tc>
        <w:tc>
          <w:tcPr/>
          <w:p>
            <w:pPr>
              <w:pStyle w:val="Compact"/>
              <w:jc w:val="left"/>
            </w:pPr>
            <w:r>
              <w:t xml:space="preserve">-1.625</w:t>
            </w:r>
          </w:p>
        </w:tc>
        <w:tc>
          <w:tcPr/>
          <w:p>
            <w:pPr>
              <w:pStyle w:val="Compact"/>
              <w:jc w:val="left"/>
            </w:pPr>
            <w:r>
              <w:t xml:space="preserve">Scope 3 (Category 12)</w:t>
            </w:r>
          </w:p>
        </w:tc>
      </w:tr>
      <w:tr>
        <w:tc>
          <w:tcPr>
            <w:gridSpan w:val="3"/>
          </w:tcPr>
          <w:p>
            <w:pPr>
              <w:pStyle w:val="Compact"/>
              <w:jc w:val="right"/>
            </w:pPr>
            <w:r>
              <w:rPr>
                <w:bCs/>
                <w:b/>
              </w:rPr>
              <w:t xml:space="preserve">TOTAL PRODUCT CARBON FOOTPRINT:</w:t>
            </w:r>
          </w:p>
        </w:tc>
        <w:tc>
          <w:tcPr/>
          <w:p>
            <w:pPr>
              <w:pStyle w:val="Compact"/>
              <w:jc w:val="left"/>
            </w:pPr>
            <w:r>
              <w:rPr>
                <w:bCs/>
                <w:b/>
              </w:rPr>
              <w:t xml:space="preserve">32.89 kg CO2e</w:t>
            </w:r>
          </w:p>
        </w:tc>
        <w:tc>
          <w:tcPr/>
          <w:p>
            <w:pPr>
              <w:pStyle w:val="Compact"/>
            </w:pPr>
          </w:p>
        </w:tc>
      </w:tr>
    </w:tbl>
    <w:bookmarkEnd w:id="31"/>
    <w:bookmarkStart w:id="32" w:name="emissions-by-ghg-protocol-scope"/>
    <w:p>
      <w:pPr>
        <w:pStyle w:val="Heading3"/>
      </w:pPr>
      <w:r>
        <w:t xml:space="preserve">4.2. Emissions by GHG Protocol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rPr>
                <w:bCs/>
                <w:b/>
              </w:rPr>
              <w:t xml:space="preserve">Scope 1 (Direct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rPr>
                <w:bCs/>
                <w:b/>
              </w:rPr>
              <w:t xml:space="preserve">Scope 2 (Purchased Energy)</w:t>
            </w:r>
          </w:p>
        </w:tc>
        <w:tc>
          <w:tcPr/>
          <w:p>
            <w:pPr>
              <w:pStyle w:val="Compact"/>
              <w:jc w:val="left"/>
            </w:pPr>
            <w:r>
              <w:t xml:space="preserve">12.00</w:t>
            </w:r>
          </w:p>
        </w:tc>
        <w:tc>
          <w:tcPr/>
          <w:p>
            <w:pPr>
              <w:pStyle w:val="Compact"/>
              <w:jc w:val="left"/>
            </w:pPr>
            <w:r>
              <w:t xml:space="preserve">36.5%</w:t>
            </w:r>
          </w:p>
        </w:tc>
      </w:tr>
      <w:tr>
        <w:tc>
          <w:tcPr/>
          <w:p>
            <w:pPr>
              <w:pStyle w:val="Compact"/>
              <w:jc w:val="left"/>
            </w:pPr>
            <w:r>
              <w:rPr>
                <w:bCs/>
                <w:b/>
              </w:rPr>
              <w:t xml:space="preserve">Scope 3 (Value Chain Emissions)</w:t>
            </w:r>
          </w:p>
        </w:tc>
        <w:tc>
          <w:tcPr/>
          <w:p>
            <w:pPr>
              <w:pStyle w:val="Compact"/>
              <w:jc w:val="left"/>
            </w:pPr>
            <w:r>
              <w:t xml:space="preserve">20.89</w:t>
            </w:r>
          </w:p>
        </w:tc>
        <w:tc>
          <w:tcPr/>
          <w:p>
            <w:pPr>
              <w:pStyle w:val="Compact"/>
              <w:jc w:val="left"/>
            </w:pPr>
            <w:r>
              <w:t xml:space="preserve">63.5%</w:t>
            </w:r>
          </w:p>
        </w:tc>
      </w:tr>
      <w:tr>
        <w:tc>
          <w:tcPr/>
          <w:p>
            <w:pPr>
              <w:pStyle w:val="Compact"/>
              <w:jc w:val="left"/>
            </w:pPr>
            <w:r>
              <w:rPr>
                <w:bCs/>
                <w:b/>
              </w:rPr>
              <w:t xml:space="preserve">Total PCF</w:t>
            </w:r>
          </w:p>
        </w:tc>
        <w:tc>
          <w:tcPr/>
          <w:p>
            <w:pPr>
              <w:pStyle w:val="Compact"/>
              <w:jc w:val="left"/>
            </w:pPr>
            <w:r>
              <w:rPr>
                <w:bCs/>
                <w:b/>
              </w:rPr>
              <w:t xml:space="preserve">32.89</w:t>
            </w:r>
          </w:p>
        </w:tc>
        <w:tc>
          <w:tcPr/>
          <w:p>
            <w:pPr>
              <w:pStyle w:val="Compact"/>
              <w:jc w:val="left"/>
            </w:pPr>
            <w:r>
              <w:rPr>
                <w:bCs/>
                <w:b/>
              </w:rPr>
              <w:t xml:space="preserve">100.0%</w:t>
            </w:r>
          </w:p>
        </w:tc>
      </w:tr>
    </w:tbl>
    <w:p>
      <w:pPr>
        <w:pStyle w:val="BodyText"/>
      </w:pPr>
      <w:r>
        <w:t xml:space="preserve">The analysis shows that Scope 2 emissions (from manufacturing electricity) and Scope 3 emissions (particularly the use phase and materials acquisition) are the primary drivers of</w:t>
      </w:r>
      <w:r>
        <w:t xml:space="preserve"> </w:t>
      </w:r>
      <w:r>
        <w:t xml:space="preserve">fhgefggmko</w:t>
      </w:r>
      <w:r>
        <w:t xml:space="preserve">\'s carbon footprint. The comprehensive coverage of all major lifecycle stages ensures a robust assessment for Scope 3 reporting.</w:t>
      </w:r>
    </w:p>
    <w:p>
      <w:r>
        <w:pict>
          <v:rect style="width:0;height:1.5pt" o:hralign="center" o:hrstd="t" o:hr="t"/>
        </w:pict>
      </w:r>
    </w:p>
    <w:bookmarkEnd w:id="32"/>
    <w:bookmarkEnd w:id="33"/>
    <w:bookmarkStart w:id="38" w:name="review-report"/>
    <w:p>
      <w:pPr>
        <w:pStyle w:val="Heading2"/>
      </w:pPr>
      <w:r>
        <w:t xml:space="preserve">5. Review &amp; Report</w:t>
      </w:r>
    </w:p>
    <w:bookmarkStart w:id="34" w:name="emission-hotspots"/>
    <w:p>
      <w:pPr>
        <w:pStyle w:val="Heading3"/>
      </w:pPr>
      <w:r>
        <w:t xml:space="preserve">5.1. Emission Hotspots</w:t>
      </w:r>
    </w:p>
    <w:p>
      <w:pPr>
        <w:pStyle w:val="FirstParagraph"/>
      </w:pPr>
      <w:r>
        <w:t xml:space="preserve">The key emission hotspots for</w:t>
      </w:r>
      <w:r>
        <w:t xml:space="preserve"> </w:t>
      </w:r>
      <w:r>
        <w:t xml:space="preserve">fhgefggmko</w:t>
      </w:r>
      <w:r>
        <w:t xml:space="preserve"> </w:t>
      </w:r>
      <w:r>
        <w:t xml:space="preserve">are identified as:</w:t>
      </w:r>
    </w:p>
    <w:p>
      <w:pPr>
        <w:numPr>
          <w:ilvl w:val="0"/>
          <w:numId w:val="1007"/>
        </w:numPr>
        <w:pStyle w:val="Compact"/>
      </w:pPr>
      <w:r>
        <w:rPr>
          <w:bCs/>
          <w:b/>
        </w:rPr>
        <w:t xml:space="preserve">Manufacturing (Scope 2):</w:t>
      </w:r>
      <w:r>
        <w:t xml:space="preserve"> </w:t>
      </w:r>
      <w:r>
        <w:t xml:space="preserve">Represents</w:t>
      </w:r>
      <w:r>
        <w:t xml:space="preserve"> </w:t>
      </w:r>
      <w:r>
        <w:t xml:space="preserve">36.5%</w:t>
      </w:r>
      <w:r>
        <w:t xml:space="preserve"> </w:t>
      </w:r>
      <w:r>
        <w:t xml:space="preserve">of the total PCF, primarily driven by electricity consumption in China\'s energy mix despite</w:t>
      </w:r>
      <w:r>
        <w:t xml:space="preserve"> </w:t>
      </w:r>
      <w:r>
        <w:t xml:space="preserve">60% renewable energy usage</w:t>
      </w:r>
      <w:r>
        <w:t xml:space="preserve">. Further increasing renewable energy sourcing or improving energy efficiency in production facilities are critical mitigation pathways.</w:t>
      </w:r>
    </w:p>
    <w:p>
      <w:pPr>
        <w:numPr>
          <w:ilvl w:val="0"/>
          <w:numId w:val="1007"/>
        </w:numPr>
        <w:pStyle w:val="Compact"/>
      </w:pPr>
      <w:r>
        <w:rPr>
          <w:bCs/>
          <w:b/>
        </w:rPr>
        <w:t xml:space="preserve">Use Phase (Scope 3, Category 11):</w:t>
      </w:r>
      <w:r>
        <w:t xml:space="preserve"> </w:t>
      </w:r>
      <w:r>
        <w:t xml:space="preserve">Accounts for</w:t>
      </w:r>
      <w:r>
        <w:t xml:space="preserve"> </w:t>
      </w:r>
      <w:r>
        <w:t xml:space="preserve">12.50 kg CO2e</w:t>
      </w:r>
      <w:r>
        <w:t xml:space="preserve">, or</w:t>
      </w:r>
      <w:r>
        <w:t xml:space="preserve"> </w:t>
      </w:r>
      <w:r>
        <w:t xml:space="preserve">38%</w:t>
      </w:r>
      <w:r>
        <w:t xml:space="preserve"> </w:t>
      </w:r>
      <w:r>
        <w:t xml:space="preserve">of the total PCF. This highlights the importance of energy-efficient product design and encouraging the use of renewable energy by end-users.</w:t>
      </w:r>
    </w:p>
    <w:p>
      <w:pPr>
        <w:numPr>
          <w:ilvl w:val="0"/>
          <w:numId w:val="1007"/>
        </w:numPr>
        <w:pStyle w:val="Compact"/>
      </w:pPr>
      <w:r>
        <w:rPr>
          <w:bCs/>
          <w:b/>
        </w:rPr>
        <w:t xml:space="preserve">Materials Acquisition (Scope 3, Category 1):</w:t>
      </w:r>
      <w:r>
        <w:t xml:space="preserve"> </w:t>
      </w:r>
      <w:r>
        <w:t xml:space="preserve">Contributes</w:t>
      </w:r>
      <w:r>
        <w:t xml:space="preserve"> </w:t>
      </w:r>
      <w:r>
        <w:t xml:space="preserve">9.30 kg CO2e</w:t>
      </w:r>
      <w:r>
        <w:t xml:space="preserve">, or</w:t>
      </w:r>
      <w:r>
        <w:t xml:space="preserve"> </w:t>
      </w:r>
      <w:r>
        <w:t xml:space="preserve">28.3%</w:t>
      </w:r>
      <w:r>
        <w:t xml:space="preserve"> </w:t>
      </w:r>
      <w:r>
        <w:t xml:space="preserve">of the total PCF. This emphasizes the need for sustainable material sourcing, exploring lower-carbon alternatives, and engaging with suppliers on their own decarbonization efforts.</w:t>
      </w:r>
    </w:p>
    <w:bookmarkEnd w:id="34"/>
    <w:bookmarkStart w:id="35" w:name="reliability-and-limitations"/>
    <w:p>
      <w:pPr>
        <w:pStyle w:val="Heading3"/>
      </w:pPr>
      <w:r>
        <w:t xml:space="preserve">5.2. Reliability and Limitations</w:t>
      </w:r>
    </w:p>
    <w:p>
      <w:pPr>
        <w:pStyle w:val="FirstParagraph"/>
      </w:pPr>
      <w:r>
        <w:t xml:space="preserve">This report provides a high-detail analysis based on the provided parameters and industry-standard emission factors. However, it is subject to the following limitations:</w:t>
      </w:r>
    </w:p>
    <w:p>
      <w:pPr>
        <w:numPr>
          <w:ilvl w:val="0"/>
          <w:numId w:val="1008"/>
        </w:numPr>
        <w:pStyle w:val="Compact"/>
      </w:pPr>
      <w:r>
        <w:rPr>
          <w:bCs/>
          <w:b/>
        </w:rPr>
        <w:t xml:space="preserve">Secondary Data Reliance:</w:t>
      </w:r>
      <w:r>
        <w:t xml:space="preserve"> </w:t>
      </w:r>
      <w:r>
        <w:t xml:space="preserve">While industry-standard emission factors (e.g., from Ecoinvent/DEFRA) are used, actual emissions may vary based on specific supplier data, production efficiencies, and exact transport routes and vehicle types.</w:t>
      </w:r>
    </w:p>
    <w:p>
      <w:pPr>
        <w:numPr>
          <w:ilvl w:val="0"/>
          <w:numId w:val="1008"/>
        </w:numPr>
        <w:pStyle w:val="Compact"/>
      </w:pPr>
      <w:r>
        <w:rPr>
          <w:bCs/>
          <w:b/>
        </w:rPr>
        <w:t xml:space="preserve">Illustrative Factors:</w:t>
      </w:r>
      <w:r>
        <w:t xml:space="preserve"> </w:t>
      </w:r>
      <w:r>
        <w:t xml:space="preserve">Some specific emission factors (e.g., for last-mile delivery, and generalized recycling benefits) are based on representative averages for the purpose of this demonstration, as precise, proprietary data was not available for every specific activity.</w:t>
      </w:r>
    </w:p>
    <w:p>
      <w:pPr>
        <w:numPr>
          <w:ilvl w:val="0"/>
          <w:numId w:val="1008"/>
        </w:numPr>
        <w:pStyle w:val="Compact"/>
      </w:pPr>
      <w:r>
        <w:rPr>
          <w:bCs/>
          <w:b/>
        </w:rPr>
        <w:t xml:space="preserve">Dynamic Environment:</w:t>
      </w:r>
      <w:r>
        <w:t xml:space="preserve"> </w:t>
      </w:r>
      <w:r>
        <w:t xml:space="preserve">Emission factors, especially for electricity grids, are subject to change over time due to shifts in energy mixes and policy. The factors used reflect current or projected averages.</w:t>
      </w:r>
    </w:p>
    <w:bookmarkEnd w:id="35"/>
    <w:bookmarkStart w:id="37" w:name="recommendations"/>
    <w:p>
      <w:pPr>
        <w:pStyle w:val="Heading3"/>
      </w:pPr>
      <w:r>
        <w:t xml:space="preserve">5.3. Recommendations</w:t>
      </w:r>
    </w:p>
    <w:p>
      <w:pPr>
        <w:pStyle w:val="FirstParagraph"/>
      </w:pPr>
      <w:r>
        <w:t xml:space="preserve">To further reduce the PCF of</w:t>
      </w:r>
      <w:r>
        <w:t xml:space="preserve"> </w:t>
      </w:r>
      <w:r>
        <w:t xml:space="preserve">fhgefggmko</w:t>
      </w:r>
      <w:r>
        <w:t xml:space="preserve">,</w:t>
      </w:r>
      <w:r>
        <w:t xml:space="preserve"> </w:t>
      </w:r>
      <w:r>
        <w:t xml:space="preserve">mrlfgirptt</w:t>
      </w:r>
      <w:r>
        <w:t xml:space="preserve"> </w:t>
      </w:r>
      <w:r>
        <w:t xml:space="preserve">should consider:</w:t>
      </w:r>
    </w:p>
    <w:p>
      <w:pPr>
        <w:numPr>
          <w:ilvl w:val="0"/>
          <w:numId w:val="1009"/>
        </w:numPr>
        <w:pStyle w:val="Compact"/>
      </w:pPr>
      <w:r>
        <w:rPr>
          <w:bCs/>
          <w:b/>
        </w:rPr>
        <w:t xml:space="preserve">Enhancing Renewable Energy:</w:t>
      </w:r>
      <w:r>
        <w:t xml:space="preserve"> </w:t>
      </w:r>
      <w:r>
        <w:t xml:space="preserve">Invest in or procure more electricity from renewable sources for manufacturing operations in China to reduce Scope 2 emissions.</w:t>
      </w:r>
    </w:p>
    <w:p>
      <w:pPr>
        <w:numPr>
          <w:ilvl w:val="0"/>
          <w:numId w:val="1009"/>
        </w:numPr>
        <w:pStyle w:val="Compact"/>
      </w:pPr>
      <w:r>
        <w:rPr>
          <w:bCs/>
          <w:b/>
        </w:rPr>
        <w:t xml:space="preserve">Optimizing Product Design for Energy Efficiency:</w:t>
      </w:r>
      <w:r>
        <w:t xml:space="preserve"> </w:t>
      </w:r>
      <w:r>
        <w:t xml:space="preserve">Focus on reducing energy consumption during the product\'s use phase through innovative design and technology.</w:t>
      </w:r>
    </w:p>
    <w:p>
      <w:pPr>
        <w:numPr>
          <w:ilvl w:val="0"/>
          <w:numId w:val="1009"/>
        </w:numPr>
        <w:pStyle w:val="Compact"/>
      </w:pPr>
      <w:r>
        <w:rPr>
          <w:bCs/>
          <w:b/>
        </w:rPr>
        <w:t xml:space="preserve">Sustainable Material Sourcing:</w:t>
      </w:r>
      <w:r>
        <w:t xml:space="preserve"> </w:t>
      </w:r>
      <w:r>
        <w:t xml:space="preserve">Collaborate with suppliers to source lower-carbon materials and encourage transparency in their production processes. Explore lightweighting opportunities where feasible.</w:t>
      </w:r>
    </w:p>
    <w:p>
      <w:pPr>
        <w:numPr>
          <w:ilvl w:val="0"/>
          <w:numId w:val="1009"/>
        </w:numPr>
        <w:pStyle w:val="Compact"/>
      </w:pPr>
      <w:r>
        <w:rPr>
          <w:bCs/>
          <w:b/>
        </w:rPr>
        <w:t xml:space="preserve">Strengthening Circular Economy Initiatives:</w:t>
      </w:r>
      <w:r>
        <w:t xml:space="preserve"> </w:t>
      </w:r>
      <w:r>
        <w:t xml:space="preserve">Expand and promote the existing</w:t>
      </w:r>
      <w:r>
        <w:t xml:space="preserve"> </w:t>
      </w:r>
      <w:r>
        <w:t xml:space="preserve">kghqwdskfq (Company-run take-back program for key components)</w:t>
      </w:r>
      <w:r>
        <w:t xml:space="preserve"> </w:t>
      </w:r>
      <w:r>
        <w:t xml:space="preserve">to maximize the</w:t>
      </w:r>
      <w:r>
        <w:t xml:space="preserve"> </w:t>
      </w:r>
      <w:r>
        <w:t xml:space="preserve">qogqqdghes (75% recyclability)</w:t>
      </w:r>
      <w:r>
        <w:t xml:space="preserve"> </w:t>
      </w:r>
      <w:r>
        <w:t xml:space="preserve">and explore advanced recycling technologies to further increase avoided emissions.</w:t>
      </w:r>
    </w:p>
    <w:p>
      <w:pPr>
        <w:numPr>
          <w:ilvl w:val="0"/>
          <w:numId w:val="1009"/>
        </w:numPr>
        <w:pStyle w:val="Compact"/>
      </w:pPr>
      <w:r>
        <w:rPr>
          <w:bCs/>
          <w:b/>
        </w:rPr>
        <w:t xml:space="preserve">Supply Chain Engagement:</w:t>
      </w:r>
      <w:r>
        <w:t xml:space="preserve"> </w:t>
      </w:r>
      <w:r>
        <w:t xml:space="preserve">Work closely with logistics partners to optimize transport routes, utilize more efficient modes, and explore low-carbon fuel alternatives for both inbound and outbound logistics.</w:t>
      </w:r>
    </w:p>
    <w:p>
      <w:r>
        <w:pict>
          <v:rect style="width:0;height:1.5pt" o:hralign="center" o:hrstd="t" o:hr="t"/>
        </w:pict>
      </w:r>
    </w:p>
    <w:p>
      <w:pPr>
        <w:pStyle w:val="FirstParagraph"/>
      </w:pPr>
      <w:r>
        <w:t xml:space="preserve">Confidential - Internal Use Only | Page</w:t>
      </w:r>
      <w:r>
        <w:t xml:space="preserve"> </w:t>
      </w:r>
      <w:bookmarkStart w:id="36" w:name="pageNumber"/>
      <w:bookmarkEnd w:id="36"/>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fhgefggmko</dc:title>
  <dc:creator/>
  <dc:description>High-detail Product Carbon Footprint (PCF) analysis report for fhgefggmko, performed by zgdfjzqjgy for mrlfgirptt, adhering to GHG Protocol standards and 2026 LSR update.</dc:description>
  <dc:language>en</dc:language>
  <cp:keywords/>
  <dcterms:created xsi:type="dcterms:W3CDTF">2026-07-15T17:56:16Z</dcterms:created>
  <dcterms:modified xsi:type="dcterms:W3CDTF">2026-07-15T17:56:16Z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