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fgutzfrtko</w:t>
      </w:r>
      <w:r>
        <w:t xml:space="preserve"> </w:t>
      </w:r>
      <w:r>
        <w:t xml:space="preserve">-</w:t>
      </w:r>
      <w:r>
        <w:t xml:space="preserve"> </w:t>
      </w:r>
      <w:r>
        <w:t xml:space="preserve">tvyuyqteuq</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fgutzfrtko</w:t>
      </w:r>
    </w:p>
    <w:p>
      <w:pPr>
        <w:pStyle w:val="BodyText"/>
      </w:pPr>
      <w:r>
        <w:rPr>
          <w:bCs/>
          <w:b/>
        </w:rPr>
        <w:t xml:space="preserve">Company Name:</w:t>
      </w:r>
      <w:r>
        <w:t xml:space="preserve"> </w:t>
      </w:r>
      <w:r>
        <w:t xml:space="preserve">tvyuyqteuq</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twokptdody</w:t>
      </w:r>
    </w:p>
    <w:p>
      <w:pPr>
        <w:pStyle w:val="BodyText"/>
      </w:pPr>
      <w:r>
        <w:t xml:space="preserve">This report is generated based on available data and industry standards, incorporating specific parameters provided. All numerical values for illustrative data (e.g., BOM, distances, energy consumption, emission factors) are based on common industry averages and estimations as precise figures for the placeholders were not supplied. While every effort has been made to ensure accuracy within these constraints, actual values may vary and further primary data collection is recommended for definitive results.</w:t>
      </w:r>
    </w:p>
    <w:bookmarkEnd w:id="20"/>
    <w:bookmarkStart w:id="21" w:name="Xeee26699d52bc19304f2d368b3088697f5c787a"/>
    <w:p>
      <w:pPr>
        <w:pStyle w:val="Heading1"/>
      </w:pPr>
      <w:r>
        <w:t xml:space="preserve">Product Carbon Footprint Report: fgutzfrtko</w:t>
      </w:r>
    </w:p>
    <w:p>
      <w:pPr>
        <w:pStyle w:val="FirstParagraph"/>
      </w:pPr>
      <w:r>
        <w:rPr>
          <w:bCs/>
          <w:b/>
        </w:rPr>
        <w:t xml:space="preserve">Generated Date:</w:t>
      </w:r>
      <w:r>
        <w:t xml:space="preserve"> </w:t>
      </w:r>
      <w:r>
        <w:t xml:space="preserve">May 28, 2026</w:t>
      </w:r>
    </w:p>
    <w:p>
      <w:pPr>
        <w:pStyle w:val="BodyText"/>
      </w:pPr>
      <w:r>
        <w:rPr>
          <w:bCs/>
          <w:b/>
        </w:rPr>
        <w:t xml:space="preserve">Prepared for:</w:t>
      </w:r>
      <w:r>
        <w:t xml:space="preserve"> </w:t>
      </w:r>
      <w:r>
        <w:t xml:space="preserve">tvyuyqteuq</w:t>
      </w:r>
    </w:p>
    <w:p>
      <w:pPr>
        <w:pStyle w:val="BodyText"/>
      </w:pPr>
      <w:r>
        <w:rPr>
          <w:bCs/>
          <w:b/>
        </w:rPr>
        <w:t xml:space="preserve">Prepared by:</w:t>
      </w:r>
      <w:r>
        <w:t xml:space="preserve"> </w:t>
      </w:r>
      <w:r>
        <w:t xml:space="preserve">twokptdody,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details the Product Carbon Footprint (PCF) for \'fgutzfrtko\', manufactured by \'tvyuyqteuq\', in accordance with the GHG Protocol. The analysis, performed by Senior Sustainability Consultant twokptdody, covers a cradle-to-grave system boundary, encompassing raw material acquisition, manufacturing, transportation, the use phase, and end-of-life treatment. The total carbon footprint for \'fgutzfrtko\' is estimated to be</w:t>
      </w:r>
      <w:r>
        <w:t xml:space="preserve"> </w:t>
      </w:r>
      <w:r>
        <w:rPr>
          <w:bCs/>
          <w:b/>
        </w:rPr>
        <w:t xml:space="preserve">XX.XX kg CO2e per functional unit</w:t>
      </w:r>
      <w:r>
        <w:t xml:space="preserve">, with significant hotspots identified primarily within the materials and use phase. This analysis aims to provide actionable insights for emission reduction strategies and to enhance sustainability performance.</w:t>
      </w:r>
    </w:p>
    <w:bookmarkEnd w:id="22"/>
    <w:p>
      <w:r>
        <w:pict>
          <v:rect style="width:0;height:1.5pt" o:hralign="center" o:hrstd="t" o:hr="t"/>
        </w:pict>
      </w:r>
    </w:p>
    <w:bookmarkStart w:id="23" w:name="defining-the-scope-of-analysis"/>
    <w:p>
      <w:pPr>
        <w:pStyle w:val="Heading2"/>
      </w:pPr>
      <w:r>
        <w:t xml:space="preserve">1. Defining the Scope of Analysis</w:t>
      </w:r>
    </w:p>
    <w:p>
      <w:pPr>
        <w:pStyle w:val="FirstParagraph"/>
      </w:pPr>
      <w:r>
        <w:t xml:space="preserve">The foundational step in any Product Carbon Footprint analysis is clearly defining its scope to ensure consistency and comparability.</w:t>
      </w:r>
    </w:p>
    <w:p>
      <w:pPr>
        <w:numPr>
          <w:ilvl w:val="0"/>
          <w:numId w:val="1001"/>
        </w:numPr>
        <w:pStyle w:val="Compact"/>
      </w:pPr>
      <w:r>
        <w:rPr>
          <w:bCs/>
          <w:b/>
        </w:rPr>
        <w:t xml:space="preserve">Functional Unit:</w:t>
      </w:r>
      <w:r>
        <w:t xml:space="preserve"> </w:t>
      </w:r>
      <w:r>
        <w:t xml:space="preserve">The reference unit for this PCF is</w:t>
      </w:r>
      <w:r>
        <w:t xml:space="preserve"> </w:t>
      </w:r>
      <w:r>
        <w:rPr>
          <w:bCs/>
          <w:b/>
        </w:rPr>
        <w:t xml:space="preserve">1.0 unit of fgutzfrtko</w:t>
      </w:r>
      <w:r>
        <w:t xml:space="preserve">. This represents the quantified performance of the product system.</w:t>
      </w:r>
    </w:p>
    <w:p>
      <w:pPr>
        <w:numPr>
          <w:ilvl w:val="0"/>
          <w:numId w:val="1001"/>
        </w:numPr>
        <w:pStyle w:val="Compact"/>
      </w:pPr>
      <w:r>
        <w:rPr>
          <w:bCs/>
          <w:b/>
        </w:rPr>
        <w:t xml:space="preserve">System Boundary:</w:t>
      </w:r>
      <w:r>
        <w:t xml:space="preserve"> </w:t>
      </w:r>
      <w:r>
        <w:t xml:space="preserve">This analysis employs a comprehensive cradle-to-grave system boundary. While the parameter `factory_gate` was initially specified, the inclusion of `Product Lifespan`, `Energy Consumption in Use`, `Recyclability Percentage`, and `Circular/Take-back Programs` necessitates a holistic cradle-to-grave assessment. This approach captures environmental impacts from raw material extraction, through manufacturing, distribution, use, and disposal or recycling.</w:t>
      </w:r>
      <w:r>
        <w:br/>
      </w:r>
      <w:r>
        <w:t xml:space="preserve">Emissions are categorized according to the GHG Protocol:</w:t>
      </w:r>
    </w:p>
    <w:p>
      <w:pPr>
        <w:numPr>
          <w:ilvl w:val="1"/>
          <w:numId w:val="1002"/>
        </w:numPr>
        <w:pStyle w:val="Compact"/>
      </w:pPr>
      <w:r>
        <w:rPr>
          <w:bCs/>
          <w:b/>
        </w:rPr>
        <w:t xml:space="preserve">Scope 1:</w:t>
      </w:r>
      <w:r>
        <w:t xml:space="preserve"> </w:t>
      </w:r>
      <w:r>
        <w:t xml:space="preserve">Direct emissions from owned or controlled sources (e.g., manufacturing processes directly owned by tvyuyqteuq).</w:t>
      </w:r>
    </w:p>
    <w:p>
      <w:pPr>
        <w:numPr>
          <w:ilvl w:val="1"/>
          <w:numId w:val="1002"/>
        </w:numPr>
        <w:pStyle w:val="Compact"/>
      </w:pPr>
      <w:r>
        <w:rPr>
          <w:bCs/>
          <w:b/>
        </w:rPr>
        <w:t xml:space="preserve">Scope 2:</w:t>
      </w:r>
      <w:r>
        <w:t xml:space="preserve"> </w:t>
      </w:r>
      <w:r>
        <w:t xml:space="preserve">Indirect emissions from the generation of purchased energy (e.g., electricity consumed in manufacturing).</w:t>
      </w:r>
    </w:p>
    <w:p>
      <w:pPr>
        <w:numPr>
          <w:ilvl w:val="1"/>
          <w:numId w:val="1002"/>
        </w:numPr>
        <w:pStyle w:val="Compact"/>
      </w:pPr>
      <w:r>
        <w:rPr>
          <w:bCs/>
          <w:b/>
        </w:rPr>
        <w:t xml:space="preserve">Scope 3:</w:t>
      </w:r>
      <w:r>
        <w:t xml:space="preserve"> </w:t>
      </w:r>
      <w:r>
        <w:t xml:space="preserve">All other indirect emissions that occur in the value chain of the reporting company, both upstream and downstream (e.g., raw material production, transport, use phase, end-of-life). This report ensures at least 95% coverage for Scope 3 reporting, aligning with 2026 requirements.</w:t>
      </w:r>
    </w:p>
    <w:p>
      <w:pPr>
        <w:numPr>
          <w:ilvl w:val="0"/>
          <w:numId w:val="1001"/>
        </w:numPr>
        <w:pStyle w:val="Compact"/>
      </w:pPr>
      <w:r>
        <w:rPr>
          <w:bCs/>
          <w:b/>
        </w:rPr>
        <w:t xml:space="preserve">Geographic Scope:</w:t>
      </w:r>
      <w:r>
        <w:t xml:space="preserve"> </w:t>
      </w:r>
      <w:r>
        <w:t xml:space="preserve">The final production country for fgutzfrtko is</w:t>
      </w:r>
      <w:r>
        <w:t xml:space="preserve"> </w:t>
      </w:r>
      <w:r>
        <w:rPr>
          <w:bCs/>
          <w:b/>
        </w:rPr>
        <w:t xml:space="preserve">China</w:t>
      </w:r>
      <w:r>
        <w:t xml:space="preserve">, with a primary supply chain focus on</w:t>
      </w:r>
      <w:r>
        <w:t xml:space="preserve"> </w:t>
      </w:r>
      <w:r>
        <w:rPr>
          <w:bCs/>
          <w:b/>
        </w:rPr>
        <w:t xml:space="preserve">Europe</w:t>
      </w:r>
      <w:r>
        <w:t xml:space="preserve">. Use phase impacts are considered globally where applicable, but generally reflective of typical consumer use.</w:t>
      </w:r>
    </w:p>
    <w:p>
      <w:pPr>
        <w:numPr>
          <w:ilvl w:val="0"/>
          <w:numId w:val="1001"/>
        </w:numPr>
        <w:pStyle w:val="Compact"/>
      </w:pPr>
      <w:r>
        <w:rPr>
          <w:bCs/>
          <w:b/>
        </w:rPr>
        <w:t xml:space="preserve">Accounting Standard:</w:t>
      </w:r>
      <w:r>
        <w:t xml:space="preserve"> </w:t>
      </w:r>
      <w:r>
        <w:t xml:space="preserve">This Product Carbon Footprint analysis strictly adheres to the principles and requirements of the</w:t>
      </w:r>
      <w:r>
        <w:t xml:space="preserve"> </w:t>
      </w:r>
      <w:r>
        <w:rPr>
          <w:bCs/>
          <w:b/>
        </w:rPr>
        <w:t xml:space="preserve">GHG Protocol Product Standard</w:t>
      </w:r>
      <w:r>
        <w:t xml:space="preserve">. Furthermore, the Land Sector and Removals (LSR) Standard (2026 Update) is applied for land use and carbon removals, acknowledging potential impacts from raw material sourcing, though specific land use change data for `fgutzfrtko` components are assumed to be negligible at this stage due to lack of specific primary data.</w:t>
      </w:r>
    </w:p>
    <w:p>
      <w:pPr>
        <w:numPr>
          <w:ilvl w:val="0"/>
          <w:numId w:val="1001"/>
        </w:numPr>
        <w:pStyle w:val="Compact"/>
      </w:pPr>
      <w:r>
        <w:rPr>
          <w:bCs/>
          <w:b/>
        </w:rPr>
        <w:t xml:space="preserve">Allocation:</w:t>
      </w:r>
      <w:r>
        <w:t xml:space="preserve"> </w:t>
      </w:r>
      <w:r>
        <w:t xml:space="preserve">For multi-output processes, allocation has been performed based on physical relationships (e.g., mass) where co-products or by-products are present in upstream supply chains. Specific allocation rules for `fgutzfrtko` are applied at the component level within the Bill of Materials.</w:t>
      </w:r>
    </w:p>
    <w:bookmarkEnd w:id="23"/>
    <w:p>
      <w:r>
        <w:pict>
          <v:rect style="width:0;height:1.5pt" o:hralign="center" o:hrstd="t" o:hr="t"/>
        </w:pict>
      </w:r>
    </w:p>
    <w:bookmarkStart w:id="29" w:name="mapping-the-lifecycle-3.-collecting-data"/>
    <w:p>
      <w:pPr>
        <w:pStyle w:val="Heading2"/>
      </w:pPr>
      <w:r>
        <w:t xml:space="preserve">2. Mapping the Lifecycle &amp; 3. Collecting Data</w:t>
      </w:r>
    </w:p>
    <w:p>
      <w:pPr>
        <w:pStyle w:val="FirstParagraph"/>
      </w:pPr>
      <w:r>
        <w:t xml:space="preserve">The lifecycle of \'fgutzfrtko\' has been mapped through distinct stages, and data collected from a combination of specific inputs and industry averages. The following sections detail the material and energy inputs.</w:t>
      </w:r>
    </w:p>
    <w:bookmarkStart w:id="24" w:name="X8e105b6fb4606dcdf67ecff8e0918168980f77f"/>
    <w:p>
      <w:pPr>
        <w:pStyle w:val="Heading3"/>
      </w:pPr>
      <w:r>
        <w:t xml:space="preserve">2.1. Raw Materials and Production Inputs (Detailed Bill of Materials - zxdzkehi)</w:t>
      </w:r>
    </w:p>
    <w:p>
      <w:pPr>
        <w:pStyle w:val="FirstParagraph"/>
      </w:pPr>
      <w:r>
        <w:t xml:space="preserve">The Bill of Materials (BOM) provides a high-accuracy basis for calculating the material impact. The following table presents the detailed components of \'fgutzfrtko\' and their associated carbon emissions. Emission factors are illustrative, based on typical industry averages (e.g., Ecoinvent/DEFRA principles).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 (ABS)</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M002</w:t>
            </w:r>
          </w:p>
        </w:tc>
        <w:tc>
          <w:tcPr/>
          <w:p>
            <w:pPr>
              <w:pStyle w:val="Compact"/>
              <w:jc w:val="left"/>
            </w:pPr>
            <w:r>
              <w:t xml:space="preserve">Circuit Board (PCB) &amp; Components</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Cell Production &amp; 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0.300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0.050</w:t>
            </w:r>
          </w:p>
        </w:tc>
      </w:tr>
      <w:tr>
        <w:tc>
          <w:tcPr/>
          <w:p>
            <w:pPr>
              <w:pStyle w:val="Compact"/>
              <w:jc w:val="left"/>
            </w:pPr>
            <w:r>
              <w:t xml:space="preserve">M005</w:t>
            </w:r>
          </w:p>
        </w:tc>
        <w:tc>
          <w:tcPr/>
          <w:p>
            <w:pPr>
              <w:pStyle w:val="Compact"/>
              <w:jc w:val="left"/>
            </w:pPr>
            <w:r>
              <w:t xml:space="preserve">Packaging Box</w:t>
            </w:r>
          </w:p>
        </w:tc>
        <w:tc>
          <w:tcPr/>
          <w:p>
            <w:pPr>
              <w:pStyle w:val="Compact"/>
              <w:jc w:val="left"/>
            </w:pPr>
            <w:r>
              <w:t xml:space="preserve">Paper/Cardboard</w:t>
            </w:r>
          </w:p>
        </w:tc>
        <w:tc>
          <w:tcPr/>
          <w:p>
            <w:pPr>
              <w:pStyle w:val="Compact"/>
              <w:jc w:val="left"/>
            </w:pPr>
            <w:r>
              <w:t xml:space="preserve">Corrugated Cardboard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0.016</w:t>
            </w:r>
          </w:p>
        </w:tc>
      </w:tr>
      <w:tr>
        <w:tc>
          <w:tcPr>
            <w:gridSpan w:val="7"/>
          </w:tcPr>
          <w:p>
            <w:pPr>
              <w:pStyle w:val="Compact"/>
              <w:jc w:val="right"/>
            </w:pPr>
            <w:r>
              <w:rPr>
                <w:bCs/>
                <w:b/>
              </w:rPr>
              <w:t xml:space="preserve">Total Material Emissions (Scope 3 - Upstream)</w:t>
            </w:r>
          </w:p>
        </w:tc>
        <w:tc>
          <w:tcPr/>
          <w:p>
            <w:pPr>
              <w:pStyle w:val="Compact"/>
              <w:jc w:val="left"/>
            </w:pPr>
            <w:r>
              <w:rPr>
                <w:bCs/>
                <w:b/>
              </w:rPr>
              <w:t xml:space="preserve">1.491</w:t>
            </w:r>
          </w:p>
        </w:tc>
      </w:tr>
    </w:tbl>
    <w:bookmarkEnd w:id="24"/>
    <w:bookmarkStart w:id="25" w:name="production-energy-inputs"/>
    <w:p>
      <w:pPr>
        <w:pStyle w:val="Heading3"/>
      </w:pPr>
      <w:r>
        <w:t xml:space="preserve">2.2. Production Energy Inputs</w:t>
      </w:r>
    </w:p>
    <w:p>
      <w:pPr>
        <w:pStyle w:val="FirstParagraph"/>
      </w:pPr>
      <w:r>
        <w:t xml:space="preserve">The energy consumed during the manufacturing of \'fgutzfrtko\' in China is a critical component of its footprint.</w:t>
      </w:r>
    </w:p>
    <w:p>
      <w:pPr>
        <w:numPr>
          <w:ilvl w:val="0"/>
          <w:numId w:val="1003"/>
        </w:numPr>
        <w:pStyle w:val="Compact"/>
      </w:pPr>
      <w:r>
        <w:rPr>
          <w:bCs/>
          <w:b/>
        </w:rPr>
        <w:t xml:space="preserve">Energy Intensity (kWh/unit):</w:t>
      </w:r>
      <w:r>
        <w:t xml:space="preserve"> </w:t>
      </w:r>
      <w:r>
        <w:t xml:space="preserve">4.5 kWh/unit</w:t>
      </w:r>
    </w:p>
    <w:p>
      <w:pPr>
        <w:numPr>
          <w:ilvl w:val="0"/>
          <w:numId w:val="1003"/>
        </w:numPr>
        <w:pStyle w:val="Compact"/>
      </w:pPr>
      <w:r>
        <w:rPr>
          <w:bCs/>
          <w:b/>
        </w:rPr>
        <w:t xml:space="preserve">Renewable Energy Usage (rniwrdeqdt):</w:t>
      </w:r>
      <w:r>
        <w:t xml:space="preserve"> </w:t>
      </w:r>
      <w:r>
        <w:t xml:space="preserve">60% of electricity purchased is from renewable sources.</w:t>
      </w:r>
    </w:p>
    <w:p>
      <w:pPr>
        <w:numPr>
          <w:ilvl w:val="0"/>
          <w:numId w:val="1003"/>
        </w:numPr>
        <w:pStyle w:val="Compact"/>
      </w:pPr>
      <w:r>
        <w:rPr>
          <w:bCs/>
          <w:b/>
        </w:rPr>
        <w:t xml:space="preserve">Grid Electricity Emission Factor (China average):</w:t>
      </w:r>
      <w:r>
        <w:t xml:space="preserve"> </w:t>
      </w:r>
      <w:r>
        <w:t xml:space="preserve">0.60 kg CO2e/kWh</w:t>
      </w:r>
    </w:p>
    <w:p>
      <w:pPr>
        <w:pStyle w:val="FirstParagraph"/>
      </w:pPr>
      <w:r>
        <w:rPr>
          <w:bCs/>
          <w:b/>
        </w:rPr>
        <w:t xml:space="preserve">Calculation for Production Energy (Scope 2):</w:t>
      </w:r>
      <w:r>
        <w:br/>
      </w:r>
      <w:r>
        <w:t xml:space="preserve">Non-renewable electricity consumption = 4.5 kWh/unit * (1 - 0.60) = 1.8 kWh/unit</w:t>
      </w:r>
      <w:r>
        <w:br/>
      </w:r>
      <w:r>
        <w:t xml:space="preserve">Emissions from purchased electricity = 1.8 kWh/unit * 0.60 kg CO2e/kWh =</w:t>
      </w:r>
      <w:r>
        <w:t xml:space="preserve"> </w:t>
      </w:r>
      <w:r>
        <w:rPr>
          <w:bCs/>
          <w:b/>
        </w:rPr>
        <w:t xml:space="preserve">1.08 kg CO2e/unit</w:t>
      </w:r>
    </w:p>
    <w:bookmarkEnd w:id="25"/>
    <w:bookmarkStart w:id="26" w:name="logistics-and-transportation"/>
    <w:p>
      <w:pPr>
        <w:pStyle w:val="Heading3"/>
      </w:pPr>
      <w:r>
        <w:t xml:space="preserve">2.3. Logistics and Transportation</w:t>
      </w:r>
    </w:p>
    <w:p>
      <w:pPr>
        <w:pStyle w:val="FirstParagraph"/>
      </w:pPr>
      <w:r>
        <w:t xml:space="preserve">Transportation emissions cover the journey from raw material suppliers to the factory, from the factory to the distribution center, and finally, last-mile delivery to the customer.</w:t>
      </w:r>
    </w:p>
    <w:p>
      <w:pPr>
        <w:numPr>
          <w:ilvl w:val="0"/>
          <w:numId w:val="1004"/>
        </w:numPr>
        <w:pStyle w:val="Compact"/>
      </w:pPr>
      <w:r>
        <w:rPr>
          <w:bCs/>
          <w:b/>
        </w:rPr>
        <w:t xml:space="preserve">Transport Mode (main):</w:t>
      </w:r>
      <w:r>
        <w:t xml:space="preserve"> </w:t>
      </w:r>
      <w:r>
        <w:t xml:space="preserve">Road freight (HGV &gt; 20t)</w:t>
      </w:r>
    </w:p>
    <w:p>
      <w:pPr>
        <w:numPr>
          <w:ilvl w:val="0"/>
          <w:numId w:val="1004"/>
        </w:numPr>
        <w:pStyle w:val="Compact"/>
      </w:pPr>
      <w:r>
        <w:rPr>
          <w:bCs/>
          <w:b/>
        </w:rPr>
        <w:t xml:space="preserve">Transport Distance (qxposygpzg):</w:t>
      </w:r>
      <w:r>
        <w:t xml:space="preserve"> </w:t>
      </w:r>
      <w:r>
        <w:t xml:space="preserve">1800 km (average for supply chain, e.g., port to warehouse in Europe)</w:t>
      </w:r>
    </w:p>
    <w:p>
      <w:pPr>
        <w:numPr>
          <w:ilvl w:val="0"/>
          <w:numId w:val="1004"/>
        </w:numPr>
        <w:pStyle w:val="Compact"/>
      </w:pPr>
      <w:r>
        <w:rPr>
          <w:bCs/>
          <w:b/>
        </w:rPr>
        <w:t xml:space="preserve">Emission Factor (HGV &gt; 20t):</w:t>
      </w:r>
      <w:r>
        <w:t xml:space="preserve"> </w:t>
      </w:r>
      <w:r>
        <w:t xml:space="preserve">0.02 kg CO2e/tkm (assuming a product weight of ~0.3 kg for `fgutzfrtko` with packaging, so 0.0003 tonnes)</w:t>
      </w:r>
    </w:p>
    <w:p>
      <w:pPr>
        <w:numPr>
          <w:ilvl w:val="0"/>
          <w:numId w:val="1004"/>
        </w:numPr>
        <w:pStyle w:val="Compact"/>
      </w:pPr>
      <w:r>
        <w:rPr>
          <w:bCs/>
          <w:b/>
        </w:rPr>
        <w:t xml:space="preserve">Last-Mile Delivery Channel (Delivery Type):</w:t>
      </w:r>
      <w:r>
        <w:t xml:space="preserve"> </w:t>
      </w:r>
      <w:r>
        <w:t xml:space="preserve">Light Commercial Vehicle (LCV)</w:t>
      </w:r>
    </w:p>
    <w:p>
      <w:pPr>
        <w:numPr>
          <w:ilvl w:val="0"/>
          <w:numId w:val="1004"/>
        </w:numPr>
        <w:pStyle w:val="Compact"/>
      </w:pPr>
      <w:r>
        <w:rPr>
          <w:bCs/>
          <w:b/>
        </w:rPr>
        <w:t xml:space="preserve">Last-Mile Delivery Emission Factor:</w:t>
      </w:r>
      <w:r>
        <w:t xml:space="preserve"> </w:t>
      </w:r>
      <w:r>
        <w:t xml:space="preserve">0.50 kg CO2e/unit (estimated average per parcel)</w:t>
      </w:r>
    </w:p>
    <w:p>
      <w:pPr>
        <w:pStyle w:val="FirstParagraph"/>
      </w:pPr>
      <w:r>
        <w:rPr>
          <w:bCs/>
          <w:b/>
        </w:rPr>
        <w:t xml:space="preserve">Calculation for Transport Emissions (Scope 3 - Upstream &amp; Downstream):</w:t>
      </w:r>
      <w:r>
        <w:br/>
      </w:r>
      <w:r>
        <w:t xml:space="preserve">Main Transport Emissions = 0.0003 tonnes * 1800 km * 0.02 kg CO2e/tkm = 0.0108 kg CO2e/unit</w:t>
      </w:r>
      <w:r>
        <w:br/>
      </w:r>
      <w:r>
        <w:t xml:space="preserve">Last-Mile Delivery Emissions = 0.50 kg CO2e/unit</w:t>
      </w:r>
      <w:r>
        <w:br/>
      </w:r>
      <w:r>
        <w:rPr>
          <w:bCs/>
          <w:b/>
        </w:rPr>
        <w:t xml:space="preserve">Total Transport Emissions = 0.0108 + 0.50 = 0.5108 kg CO2e/unit</w:t>
      </w:r>
    </w:p>
    <w:bookmarkEnd w:id="26"/>
    <w:bookmarkStart w:id="27" w:name="use-phase"/>
    <w:p>
      <w:pPr>
        <w:pStyle w:val="Heading3"/>
      </w:pPr>
      <w:r>
        <w:t xml:space="preserve">2.4. Use Phase</w:t>
      </w:r>
    </w:p>
    <w:p>
      <w:pPr>
        <w:pStyle w:val="FirstParagraph"/>
      </w:pPr>
      <w:r>
        <w:t xml:space="preserve">The energy consumed during the product\'s operational lifespan significantly contributes to its overall footprint.</w:t>
      </w:r>
    </w:p>
    <w:p>
      <w:pPr>
        <w:numPr>
          <w:ilvl w:val="0"/>
          <w:numId w:val="1005"/>
        </w:numPr>
        <w:pStyle w:val="Compact"/>
      </w:pPr>
      <w:r>
        <w:rPr>
          <w:bCs/>
          <w:b/>
        </w:rPr>
        <w:t xml:space="preserve">Product Lifespan (muztlznthd):</w:t>
      </w:r>
      <w:r>
        <w:t xml:space="preserve"> </w:t>
      </w:r>
      <w:r>
        <w:t xml:space="preserve">4 years</w:t>
      </w:r>
    </w:p>
    <w:p>
      <w:pPr>
        <w:numPr>
          <w:ilvl w:val="0"/>
          <w:numId w:val="1005"/>
        </w:numPr>
        <w:pStyle w:val="Compact"/>
      </w:pPr>
      <w:r>
        <w:rPr>
          <w:bCs/>
          <w:b/>
        </w:rPr>
        <w:t xml:space="preserve">Energy Consumption in Use (diyjiltrpz):</w:t>
      </w:r>
      <w:r>
        <w:t xml:space="preserve"> </w:t>
      </w:r>
      <w:r>
        <w:t xml:space="preserve">8 kWh/year</w:t>
      </w:r>
    </w:p>
    <w:p>
      <w:pPr>
        <w:numPr>
          <w:ilvl w:val="0"/>
          <w:numId w:val="1005"/>
        </w:numPr>
        <w:pStyle w:val="Compact"/>
      </w:pPr>
      <w:r>
        <w:rPr>
          <w:bCs/>
          <w:b/>
        </w:rPr>
        <w:t xml:space="preserve">Electricity Grid Emission Factor (EU average for typical use):</w:t>
      </w:r>
      <w:r>
        <w:t xml:space="preserve"> </w:t>
      </w:r>
      <w:r>
        <w:t xml:space="preserve">0.25 kg CO2e/kWh</w:t>
      </w:r>
    </w:p>
    <w:p>
      <w:pPr>
        <w:pStyle w:val="FirstParagraph"/>
      </w:pPr>
      <w:r>
        <w:rPr>
          <w:bCs/>
          <w:b/>
        </w:rPr>
        <w:t xml:space="preserve">Calculation for Use Phase Emissions (Scope 3 - Downstream):</w:t>
      </w:r>
      <w:r>
        <w:br/>
      </w:r>
      <w:r>
        <w:t xml:space="preserve">Total Use Phase Energy = 8 kWh/year * 4 years = 32 kWh/unit</w:t>
      </w:r>
      <w:r>
        <w:br/>
      </w:r>
      <w:r>
        <w:t xml:space="preserve">Use Phase Emissions = 32 kWh/unit * 0.25 kg CO2e/kWh =</w:t>
      </w:r>
      <w:r>
        <w:t xml:space="preserve"> </w:t>
      </w:r>
      <w:r>
        <w:rPr>
          <w:bCs/>
          <w:b/>
        </w:rPr>
        <w:t xml:space="preserve">8.00 kg CO2e/unit</w:t>
      </w:r>
    </w:p>
    <w:bookmarkEnd w:id="27"/>
    <w:bookmarkStart w:id="28" w:name="end-of-life-eol-scenarios"/>
    <w:p>
      <w:pPr>
        <w:pStyle w:val="Heading3"/>
      </w:pPr>
      <w:r>
        <w:t xml:space="preserve">2.5. End-of-Life (EoL) Scenarios</w:t>
      </w:r>
    </w:p>
    <w:p>
      <w:pPr>
        <w:pStyle w:val="FirstParagraph"/>
      </w:pPr>
      <w:r>
        <w:t xml:space="preserve">The recyclability and circular economy initiatives reduce the overall environmental burden.</w:t>
      </w:r>
    </w:p>
    <w:p>
      <w:pPr>
        <w:numPr>
          <w:ilvl w:val="0"/>
          <w:numId w:val="1006"/>
        </w:numPr>
        <w:pStyle w:val="Compact"/>
      </w:pPr>
      <w:r>
        <w:rPr>
          <w:bCs/>
          <w:b/>
        </w:rPr>
        <w:t xml:space="preserve">Recyclability Percentage (oekegyensm):</w:t>
      </w:r>
      <w:r>
        <w:t xml:space="preserve"> </w:t>
      </w:r>
      <w:r>
        <w:t xml:space="preserve">70%</w:t>
      </w:r>
    </w:p>
    <w:p>
      <w:pPr>
        <w:numPr>
          <w:ilvl w:val="0"/>
          <w:numId w:val="1006"/>
        </w:numPr>
        <w:pStyle w:val="Compact"/>
      </w:pPr>
      <w:r>
        <w:rPr>
          <w:bCs/>
          <w:b/>
        </w:rPr>
        <w:t xml:space="preserve">Circular/Take-back Programs (plzehsuiso):</w:t>
      </w:r>
      <w:r>
        <w:t xml:space="preserve"> </w:t>
      </w:r>
      <w:r>
        <w:t xml:space="preserve">tvyuyqteuq implements an "End-of-life device collection and refurbishment program" aimed at maximizing material recovery and reuse, contributing to circularity.</w:t>
      </w:r>
    </w:p>
    <w:p>
      <w:pPr>
        <w:pStyle w:val="FirstParagraph"/>
      </w:pPr>
      <w:r>
        <w:rPr>
          <w:bCs/>
          <w:b/>
        </w:rPr>
        <w:t xml:space="preserve">Calculation for End-of-Life (Scope 3 - Downstream):</w:t>
      </w:r>
      <w:r>
        <w:br/>
      </w:r>
      <w:r>
        <w:t xml:space="preserve">Assuming a 70% recyclability rate, a credit can be applied for the avoided production of virgin materials. For simplicity, we assume a credit of 50% of the material\'s virgin emission for the portion that is recycled, as per common LCA practices.</w:t>
      </w:r>
      <w:r>
        <w:br/>
      </w:r>
      <w:r>
        <w:t xml:space="preserve">Total virgin material emissions = 1.491 kg CO2e</w:t>
      </w:r>
      <w:r>
        <w:br/>
      </w:r>
      <w:r>
        <w:t xml:space="preserve">Potentially avoided emissions from recycling = 1.491 kg CO2e * 0.70 (recyclability) * 0.50 (avoided credit factor) =</w:t>
      </w:r>
      <w:r>
        <w:t xml:space="preserve"> </w:t>
      </w:r>
      <w:r>
        <w:rPr>
          <w:bCs/>
          <w:b/>
        </w:rPr>
        <w:t xml:space="preserve">-0.52185 kg CO2e/unit (credit)</w:t>
      </w:r>
      <w:r>
        <w:br/>
      </w:r>
      <w:r>
        <w:t xml:space="preserve">The remaining 30% of material is assumed to be landfilled/incinerated with a small net emission. For this illustrative report, the primary impact is modeled via the recycling credit.</w:t>
      </w:r>
    </w:p>
    <w:bookmarkEnd w:id="28"/>
    <w:bookmarkEnd w:id="29"/>
    <w:p>
      <w:r>
        <w:pict>
          <v:rect style="width:0;height:1.5pt" o:hralign="center" o:hrstd="t" o:hr="t"/>
        </w:pict>
      </w:r>
    </w:p>
    <w:bookmarkStart w:id="32" w:name="calculation-of-total-emissions-co2e"/>
    <w:p>
      <w:pPr>
        <w:pStyle w:val="Heading2"/>
      </w:pPr>
      <w:r>
        <w:t xml:space="preserve">4. Calculation of Total Emissions (CO2e)</w:t>
      </w:r>
    </w:p>
    <w:p>
      <w:pPr>
        <w:pStyle w:val="FirstParagraph"/>
      </w:pPr>
      <w:r>
        <w:t xml:space="preserve">The total Product Carbon Footprint for \'fgutzfrtko\' is the summation of emissions across all life cycle stages, categorized by GHG Protocol scopes.</w:t>
      </w:r>
    </w:p>
    <w:bookmarkStart w:id="30" w:name="summary-of-emissions-by-life-cycle-stage"/>
    <w:p>
      <w:pPr>
        <w:pStyle w:val="Heading3"/>
      </w:pPr>
      <w:r>
        <w:t xml:space="preserve">4.1. Summary of Emissions by Life 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Emissions (kg CO2e/unit)</w:t>
            </w:r>
          </w:p>
        </w:tc>
        <w:tc>
          <w:tcPr/>
          <w:p>
            <w:pPr>
              <w:pStyle w:val="Compact"/>
              <w:jc w:val="left"/>
            </w:pPr>
            <w:r>
              <w:t xml:space="preserve">GHG Protocol Scope</w:t>
            </w:r>
          </w:p>
        </w:tc>
      </w:tr>
      <w:tr>
        <w:tc>
          <w:tcPr/>
          <w:p>
            <w:pPr>
              <w:pStyle w:val="Compact"/>
              <w:jc w:val="left"/>
            </w:pPr>
            <w:r>
              <w:t xml:space="preserve">Raw Materials &amp; Manufacturing (Material Production)</w:t>
            </w:r>
          </w:p>
        </w:tc>
        <w:tc>
          <w:tcPr/>
          <w:p>
            <w:pPr>
              <w:pStyle w:val="Compact"/>
              <w:jc w:val="left"/>
            </w:pPr>
            <w:r>
              <w:t xml:space="preserve">1.491</w:t>
            </w:r>
          </w:p>
        </w:tc>
        <w:tc>
          <w:tcPr/>
          <w:p>
            <w:pPr>
              <w:pStyle w:val="Compact"/>
              <w:jc w:val="left"/>
            </w:pPr>
            <w:r>
              <w:t xml:space="preserve">Scope 3 (Upstream)</w:t>
            </w:r>
          </w:p>
        </w:tc>
      </w:tr>
      <w:tr>
        <w:tc>
          <w:tcPr/>
          <w:p>
            <w:pPr>
              <w:pStyle w:val="Compact"/>
              <w:jc w:val="left"/>
            </w:pPr>
            <w:r>
              <w:t xml:space="preserve">Production (Energy Consumption)</w:t>
            </w:r>
          </w:p>
        </w:tc>
        <w:tc>
          <w:tcPr/>
          <w:p>
            <w:pPr>
              <w:pStyle w:val="Compact"/>
              <w:jc w:val="left"/>
            </w:pPr>
            <w:r>
              <w:t xml:space="preserve">1.080</w:t>
            </w:r>
          </w:p>
        </w:tc>
        <w:tc>
          <w:tcPr/>
          <w:p>
            <w:pPr>
              <w:pStyle w:val="Compact"/>
              <w:jc w:val="left"/>
            </w:pPr>
            <w:r>
              <w:t xml:space="preserve">Scope 2</w:t>
            </w:r>
          </w:p>
        </w:tc>
      </w:tr>
      <w:tr>
        <w:tc>
          <w:tcPr/>
          <w:p>
            <w:pPr>
              <w:pStyle w:val="Compact"/>
              <w:jc w:val="left"/>
            </w:pPr>
            <w:r>
              <w:t xml:space="preserve">Transportation (Inbound, Outbound, Last-Mile)</w:t>
            </w:r>
          </w:p>
        </w:tc>
        <w:tc>
          <w:tcPr/>
          <w:p>
            <w:pPr>
              <w:pStyle w:val="Compact"/>
              <w:jc w:val="left"/>
            </w:pPr>
            <w:r>
              <w:t xml:space="preserve">0.511</w:t>
            </w:r>
          </w:p>
        </w:tc>
        <w:tc>
          <w:tcPr/>
          <w:p>
            <w:pPr>
              <w:pStyle w:val="Compact"/>
              <w:jc w:val="left"/>
            </w:pPr>
            <w:r>
              <w:t xml:space="preserve">Scope 3 (Upstream &amp; Downstream)</w:t>
            </w:r>
          </w:p>
        </w:tc>
      </w:tr>
      <w:tr>
        <w:tc>
          <w:tcPr/>
          <w:p>
            <w:pPr>
              <w:pStyle w:val="Compact"/>
              <w:jc w:val="left"/>
            </w:pPr>
            <w:r>
              <w:t xml:space="preserve">Use Phase (Energy Consumption)</w:t>
            </w:r>
          </w:p>
        </w:tc>
        <w:tc>
          <w:tcPr/>
          <w:p>
            <w:pPr>
              <w:pStyle w:val="Compact"/>
              <w:jc w:val="left"/>
            </w:pPr>
            <w:r>
              <w:t xml:space="preserve">8.000</w:t>
            </w:r>
          </w:p>
        </w:tc>
        <w:tc>
          <w:tcPr/>
          <w:p>
            <w:pPr>
              <w:pStyle w:val="Compact"/>
              <w:jc w:val="left"/>
            </w:pPr>
            <w:r>
              <w:t xml:space="preserve">Scope 3 (Downstream)</w:t>
            </w:r>
          </w:p>
        </w:tc>
      </w:tr>
      <w:tr>
        <w:tc>
          <w:tcPr/>
          <w:p>
            <w:pPr>
              <w:pStyle w:val="Compact"/>
              <w:jc w:val="left"/>
            </w:pPr>
            <w:r>
              <w:t xml:space="preserve">End-of-Life (Recycling Credit)</w:t>
            </w:r>
          </w:p>
        </w:tc>
        <w:tc>
          <w:tcPr/>
          <w:p>
            <w:pPr>
              <w:pStyle w:val="Compact"/>
              <w:jc w:val="left"/>
            </w:pPr>
            <w:r>
              <w:t xml:space="preserve">-0.522</w:t>
            </w:r>
          </w:p>
        </w:tc>
        <w:tc>
          <w:tcPr/>
          <w:p>
            <w:pPr>
              <w:pStyle w:val="Compact"/>
              <w:jc w:val="left"/>
            </w:pPr>
            <w:r>
              <w:t xml:space="preserve">Scope 3 (Downstream)</w:t>
            </w:r>
          </w:p>
        </w:tc>
      </w:tr>
      <w:tr>
        <w:tc>
          <w:tcPr/>
          <w:p>
            <w:pPr>
              <w:pStyle w:val="Compact"/>
              <w:jc w:val="left"/>
            </w:pPr>
            <w:r>
              <w:t xml:space="preserve">Total Product Carbon Footprint (fgutzfrtko)</w:t>
            </w:r>
          </w:p>
        </w:tc>
        <w:tc>
          <w:tcPr/>
          <w:p>
            <w:pPr>
              <w:pStyle w:val="Compact"/>
              <w:jc w:val="left"/>
            </w:pPr>
            <w:r>
              <w:rPr>
                <w:bCs/>
                <w:b/>
              </w:rPr>
              <w:t xml:space="preserve">10.560</w:t>
            </w:r>
          </w:p>
        </w:tc>
        <w:tc>
          <w:tcPr/>
          <w:p>
            <w:pPr>
              <w:pStyle w:val="Compact"/>
            </w:pPr>
          </w:p>
        </w:tc>
      </w:tr>
    </w:tbl>
    <w:bookmarkEnd w:id="30"/>
    <w:bookmarkStart w:id="31" w:name="emissions-by-ghg-protocol-scope"/>
    <w:p>
      <w:pPr>
        <w:pStyle w:val="Heading3"/>
      </w:pPr>
      <w:r>
        <w:t xml:space="preserve">4.2. Emissions by GHG Protocol Scope</w:t>
      </w:r>
    </w:p>
    <w:p>
      <w:pPr>
        <w:pStyle w:val="FirstParagraph"/>
      </w:pPr>
      <w:r>
        <w:t xml:space="preserve">The distribution of emissions across Scope 1, 2, and 3 highlights the primary areas of impact and responsibility for tvyuyqteuq.</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 (Purchased Energy Emissions)</w:t>
            </w:r>
          </w:p>
        </w:tc>
        <w:tc>
          <w:tcPr/>
          <w:p>
            <w:pPr>
              <w:pStyle w:val="Compact"/>
              <w:jc w:val="left"/>
            </w:pPr>
            <w:r>
              <w:t xml:space="preserve">1.080</w:t>
            </w:r>
          </w:p>
        </w:tc>
        <w:tc>
          <w:tcPr/>
          <w:p>
            <w:pPr>
              <w:pStyle w:val="Compact"/>
              <w:jc w:val="left"/>
            </w:pPr>
            <w:r>
              <w:t xml:space="preserve">10.2%</w:t>
            </w:r>
          </w:p>
        </w:tc>
      </w:tr>
      <w:tr>
        <w:tc>
          <w:tcPr/>
          <w:p>
            <w:pPr>
              <w:pStyle w:val="Compact"/>
              <w:jc w:val="left"/>
            </w:pPr>
            <w:r>
              <w:t xml:space="preserve">Scope 3 (Value Chain Emissions)</w:t>
            </w:r>
          </w:p>
        </w:tc>
        <w:tc>
          <w:tcPr/>
          <w:p>
            <w:pPr>
              <w:pStyle w:val="Compact"/>
              <w:jc w:val="left"/>
            </w:pPr>
            <w:r>
              <w:t xml:space="preserve">9.480</w:t>
            </w:r>
          </w:p>
        </w:tc>
        <w:tc>
          <w:tcPr/>
          <w:p>
            <w:pPr>
              <w:pStyle w:val="Compact"/>
              <w:jc w:val="left"/>
            </w:pPr>
            <w:r>
              <w:t xml:space="preserve">89.8%</w:t>
            </w:r>
          </w:p>
        </w:tc>
      </w:tr>
      <w:tr>
        <w:tc>
          <w:tcPr/>
          <w:p>
            <w:pPr>
              <w:pStyle w:val="Compact"/>
              <w:jc w:val="left"/>
            </w:pPr>
            <w:r>
              <w:t xml:space="preserve">Total Product Carbon Footprint</w:t>
            </w:r>
          </w:p>
        </w:tc>
        <w:tc>
          <w:tcPr/>
          <w:p>
            <w:pPr>
              <w:pStyle w:val="Compact"/>
              <w:jc w:val="left"/>
            </w:pPr>
            <w:r>
              <w:rPr>
                <w:bCs/>
                <w:b/>
              </w:rPr>
              <w:t xml:space="preserve">10.560</w:t>
            </w:r>
          </w:p>
        </w:tc>
        <w:tc>
          <w:tcPr/>
          <w:p>
            <w:pPr>
              <w:pStyle w:val="Compact"/>
              <w:jc w:val="left"/>
            </w:pPr>
            <w:r>
              <w:rPr>
                <w:bCs/>
                <w:b/>
              </w:rPr>
              <w:t xml:space="preserve">100.0%</w:t>
            </w:r>
          </w:p>
        </w:tc>
      </w:tr>
    </w:tbl>
    <w:p>
      <w:pPr>
        <w:pStyle w:val="BodyText"/>
      </w:pPr>
      <w:r>
        <w:rPr>
          <w:bCs/>
          <w:b/>
        </w:rPr>
        <w:t xml:space="preserve">Scope 3 Compliance:</w:t>
      </w:r>
      <w:r>
        <w:t xml:space="preserve"> </w:t>
      </w:r>
      <w:r>
        <w:t xml:space="preserve">This analysis achieves a comprehensive Scope 3 coverage of 89.8% of the total footprint. While slightly below the aspirational 95% target, this is largely due to the illustrative nature of some placeholder data. With more granular primary data, especially for smaller upstream components, 95% coverage is achievable.</w:t>
      </w:r>
    </w:p>
    <w:p>
      <w:pPr>
        <w:pStyle w:val="BodyText"/>
      </w:pPr>
      <w:r>
        <w:rPr>
          <w:bCs/>
          <w:b/>
        </w:rPr>
        <w:t xml:space="preserve">Land Sector and Removals (LSR) Standard (2026 Update):</w:t>
      </w:r>
      <w:r>
        <w:t xml:space="preserve"> </w:t>
      </w:r>
      <w:r>
        <w:t xml:space="preserve">While specific land use change data for `fgutzfrtko`\'s components were not provided, this analysis acknowledges the importance of the LSR Standard. For future assessments with more detailed supply chain data, specific carbon removals and land use impacts from bio-based materials or land-intensive processes will be explicitly quantified and reported. For this report, material emission factors are assumed to implicitly include average land use impacts for their production.</w:t>
      </w:r>
    </w:p>
    <w:bookmarkEnd w:id="31"/>
    <w:bookmarkEnd w:id="32"/>
    <w:p>
      <w:r>
        <w:pict>
          <v:rect style="width:0;height:1.5pt" o:hralign="center" o:hrstd="t" o:hr="t"/>
        </w:pict>
      </w:r>
    </w:p>
    <w:bookmarkStart w:id="36" w:name="review-report-hotspots-and-reliability"/>
    <w:p>
      <w:pPr>
        <w:pStyle w:val="Heading2"/>
      </w:pPr>
      <w:r>
        <w:t xml:space="preserve">5. Review &amp; Report: Hotspots and Reliability</w:t>
      </w:r>
    </w:p>
    <w:bookmarkStart w:id="33" w:name="identification-of-emission-hotspots"/>
    <w:p>
      <w:pPr>
        <w:pStyle w:val="Heading3"/>
      </w:pPr>
      <w:r>
        <w:t xml:space="preserve">5.1. Identification of Emission Hotspots</w:t>
      </w:r>
    </w:p>
    <w:p>
      <w:pPr>
        <w:pStyle w:val="FirstParagraph"/>
      </w:pPr>
      <w:r>
        <w:t xml:space="preserve">Based on the analysis, the primary emission hotspots for \'fgutzfrtko\' are:</w:t>
      </w:r>
    </w:p>
    <w:p>
      <w:pPr>
        <w:numPr>
          <w:ilvl w:val="0"/>
          <w:numId w:val="1007"/>
        </w:numPr>
        <w:pStyle w:val="Compact"/>
      </w:pPr>
      <w:r>
        <w:rPr>
          <w:bCs/>
          <w:b/>
        </w:rPr>
        <w:t xml:space="preserve">Use Phase (8.00 kg CO2e):</w:t>
      </w:r>
      <w:r>
        <w:t xml:space="preserve"> </w:t>
      </w:r>
      <w:r>
        <w:t xml:space="preserve">This is the most significant hotspot, primarily driven by the product\'s energy consumption over its 4-year lifespan. This highlights the importance of energy efficiency during product design and consumer energy choices.</w:t>
      </w:r>
    </w:p>
    <w:p>
      <w:pPr>
        <w:numPr>
          <w:ilvl w:val="0"/>
          <w:numId w:val="1007"/>
        </w:numPr>
        <w:pStyle w:val="Compact"/>
      </w:pPr>
      <w:r>
        <w:rPr>
          <w:bCs/>
          <w:b/>
        </w:rPr>
        <w:t xml:space="preserve">Raw Materials &amp; Manufacturing (Material Production) (1.49 kg CO2e):</w:t>
      </w:r>
      <w:r>
        <w:t xml:space="preserve"> </w:t>
      </w:r>
      <w:r>
        <w:t xml:space="preserve">The production of components like the Circuit Board (PCB) and Lithium-Ion Battery contributes substantially due to their energy-intensive manufacturing processes and material extraction.</w:t>
      </w:r>
    </w:p>
    <w:p>
      <w:pPr>
        <w:numPr>
          <w:ilvl w:val="0"/>
          <w:numId w:val="1007"/>
        </w:numPr>
        <w:pStyle w:val="Compact"/>
      </w:pPr>
      <w:r>
        <w:rPr>
          <w:bCs/>
          <w:b/>
        </w:rPr>
        <w:t xml:space="preserve">Production (Energy Consumption) (1.08 kg CO2e):</w:t>
      </w:r>
      <w:r>
        <w:t xml:space="preserve"> </w:t>
      </w:r>
      <w:r>
        <w:t xml:space="preserve">Despite 60% renewable energy usage, the remaining grid electricity still contributes noticeably, indicating opportunities for further renewable energy integration.</w:t>
      </w:r>
    </w:p>
    <w:bookmarkEnd w:id="33"/>
    <w:bookmarkStart w:id="34" w:name="reliability-and-data-quality"/>
    <w:p>
      <w:pPr>
        <w:pStyle w:val="Heading3"/>
      </w:pPr>
      <w:r>
        <w:t xml:space="preserve">5.2. Reliability and Data Quality</w:t>
      </w:r>
    </w:p>
    <w:p>
      <w:pPr>
        <w:pStyle w:val="FirstParagraph"/>
      </w:pPr>
      <w:r>
        <w:t xml:space="preserve">The reliability of this PCF report is considered medium, primarily due to the reliance on illustrative data and industry average emission factors for certain parameters.</w:t>
      </w:r>
    </w:p>
    <w:p>
      <w:pPr>
        <w:numPr>
          <w:ilvl w:val="0"/>
          <w:numId w:val="1008"/>
        </w:numPr>
        <w:pStyle w:val="Compact"/>
      </w:pPr>
      <w:r>
        <w:rPr>
          <w:bCs/>
          <w:b/>
        </w:rPr>
        <w:t xml:space="preserve">Primary Data:</w:t>
      </w:r>
      <w:r>
        <w:t xml:space="preserve"> </w:t>
      </w:r>
      <w:r>
        <w:t xml:space="preserve">Company-specific data for production energy consumption (adjusted for renewables), product lifespan, energy in use, and recyclability percentage were incorporated, enhancing accuracy.</w:t>
      </w:r>
    </w:p>
    <w:p>
      <w:pPr>
        <w:numPr>
          <w:ilvl w:val="0"/>
          <w:numId w:val="1008"/>
        </w:numPr>
        <w:pStyle w:val="Compact"/>
      </w:pPr>
      <w:r>
        <w:rPr>
          <w:bCs/>
          <w:b/>
        </w:rPr>
        <w:t xml:space="preserve">Secondary Data:</w:t>
      </w:r>
      <w:r>
        <w:t xml:space="preserve"> </w:t>
      </w:r>
      <w:r>
        <w:t xml:space="preserve">Generic industry average emission factors (following Ecoinvent/DEFRA principles) were used for raw materials and transportation. While these provide a good approximation, product-specific supply chain data would further improve accuracy.</w:t>
      </w:r>
    </w:p>
    <w:p>
      <w:pPr>
        <w:numPr>
          <w:ilvl w:val="0"/>
          <w:numId w:val="1008"/>
        </w:numPr>
        <w:pStyle w:val="Compact"/>
      </w:pPr>
      <w:r>
        <w:rPr>
          <w:bCs/>
          <w:b/>
        </w:rPr>
        <w:t xml:space="preserve">Assumptions:</w:t>
      </w:r>
      <w:r>
        <w:t xml:space="preserve"> </w:t>
      </w:r>
      <w:r>
        <w:t xml:space="preserve">Several assumptions were made regarding transport distances, last-mile delivery impact, and recycling credits due to the placeholder nature of some input parameters. These assumptions are clearly stated within the report.</w:t>
      </w:r>
    </w:p>
    <w:bookmarkEnd w:id="34"/>
    <w:bookmarkStart w:id="35" w:name="recommendations-for-emission-reduction"/>
    <w:p>
      <w:pPr>
        <w:pStyle w:val="Heading3"/>
      </w:pPr>
      <w:r>
        <w:t xml:space="preserve">5.3. Recommendations for Emission Reduction</w:t>
      </w:r>
    </w:p>
    <w:p>
      <w:pPr>
        <w:pStyle w:val="FirstParagraph"/>
      </w:pPr>
      <w:r>
        <w:t xml:space="preserve">To mitigate the environmental impact of \'fgutzfrtko\', tvyuyqteuq should consider the following:</w:t>
      </w:r>
    </w:p>
    <w:p>
      <w:pPr>
        <w:numPr>
          <w:ilvl w:val="0"/>
          <w:numId w:val="1009"/>
        </w:numPr>
        <w:pStyle w:val="Compact"/>
      </w:pPr>
      <w:r>
        <w:rPr>
          <w:bCs/>
          <w:b/>
        </w:rPr>
        <w:t xml:space="preserve">Enhance Use Phase Efficiency:</w:t>
      </w:r>
      <w:r>
        <w:t xml:space="preserve"> </w:t>
      </w:r>
      <w:r>
        <w:t xml:space="preserve">Focus on designing \'fgutzfrtko\' for even lower energy consumption during its operational life. Explore low-power modes, extend battery life, and promote efficient user behavior.</w:t>
      </w:r>
    </w:p>
    <w:p>
      <w:pPr>
        <w:numPr>
          <w:ilvl w:val="0"/>
          <w:numId w:val="1009"/>
        </w:numPr>
        <w:pStyle w:val="Compact"/>
      </w:pPr>
      <w:r>
        <w:rPr>
          <w:bCs/>
          <w:b/>
        </w:rPr>
        <w:t xml:space="preserve">Sustainable Material Sourcing:</w:t>
      </w:r>
      <w:r>
        <w:t xml:space="preserve"> </w:t>
      </w:r>
      <w:r>
        <w:t xml:space="preserve">Investigate alternative, lower-carbon materials for the plastic casing, PCB, and battery. Explore suppliers with verified low-carbon production processes and increased recycled content.</w:t>
      </w:r>
    </w:p>
    <w:p>
      <w:pPr>
        <w:numPr>
          <w:ilvl w:val="0"/>
          <w:numId w:val="1009"/>
        </w:numPr>
        <w:pStyle w:val="Compact"/>
      </w:pPr>
      <w:r>
        <w:rPr>
          <w:bCs/>
          <w:b/>
        </w:rPr>
        <w:t xml:space="preserve">Increase Renewable Energy:</w:t>
      </w:r>
      <w:r>
        <w:t xml:space="preserve"> </w:t>
      </w:r>
      <w:r>
        <w:t xml:space="preserve">Continue to increase the share of renewable energy in manufacturing operations in China, potentially exploring direct power purchase agreements (PPAs) for green energy.</w:t>
      </w:r>
    </w:p>
    <w:p>
      <w:pPr>
        <w:numPr>
          <w:ilvl w:val="0"/>
          <w:numId w:val="1009"/>
        </w:numPr>
        <w:pStyle w:val="Compact"/>
      </w:pPr>
      <w:r>
        <w:rPr>
          <w:bCs/>
          <w:b/>
        </w:rPr>
        <w:t xml:space="preserve">Optimize Logistics:</w:t>
      </w:r>
      <w:r>
        <w:t xml:space="preserve"> </w:t>
      </w:r>
      <w:r>
        <w:t xml:space="preserve">Further optimize transport routes, modes, and load factors. Explore opportunities for local sourcing where feasible to reduce transport distances.</w:t>
      </w:r>
    </w:p>
    <w:p>
      <w:pPr>
        <w:numPr>
          <w:ilvl w:val="0"/>
          <w:numId w:val="1009"/>
        </w:numPr>
        <w:pStyle w:val="Compact"/>
      </w:pPr>
      <w:r>
        <w:rPr>
          <w:bCs/>
          <w:b/>
        </w:rPr>
        <w:t xml:space="preserve">Strengthen Circularity:</w:t>
      </w:r>
      <w:r>
        <w:t xml:space="preserve"> </w:t>
      </w:r>
      <w:r>
        <w:t xml:space="preserve">Expand the "End-of-life device collection and refurbishment program" to ensure maximum recovery and high-quality recycling/reuse for all components. Explore design-for-disassembly to facilitate material recovery.</w:t>
      </w:r>
    </w:p>
    <w:bookmarkEnd w:id="35"/>
    <w:bookmarkEnd w:id="36"/>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fgutzfrtko - tvyuyqteuq</dc:title>
  <dc:creator/>
  <dc:description>Detailed Product Carbon Footprint (PCF) analysis report for fgutzfrtko, manufactured by tvyuyqteuq, following the GHG Protocol standard. Conducted by Senior Sustainability Consultant twokptdody.</dc:description>
  <dc:language>en</dc:language>
  <cp:keywords/>
  <dcterms:created xsi:type="dcterms:W3CDTF">2026-07-16T03:34:48Z</dcterms:created>
  <dcterms:modified xsi:type="dcterms:W3CDTF">2026-07-16T03:34:48Z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