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fgmoemrjxn</w:t>
      </w:r>
      <w:r>
        <w:t xml:space="preserve"> </w:t>
      </w:r>
      <w:r>
        <w:t xml:space="preserve">-</w:t>
      </w:r>
      <w:r>
        <w:t xml:space="preserve"> </w:t>
      </w:r>
      <w:r>
        <w:t xml:space="preserve">sffdgxwrwr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fgmoemrjxn</w:t>
      </w:r>
    </w:p>
    <w:p>
      <w:pPr>
        <w:pStyle w:val="BodyText"/>
      </w:pPr>
      <w:r>
        <w:rPr>
          <w:bCs/>
          <w:b/>
        </w:rPr>
        <w:t xml:space="preserve">Company:</w:t>
      </w:r>
      <w:r>
        <w:t xml:space="preserve"> </w:t>
      </w:r>
      <w:r>
        <w:t xml:space="preserve">sffdgxwrwr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gupxessvkw</w:t>
      </w:r>
    </w:p>
    <w:p>
      <w:pPr>
        <w:pStyle w:val="BodyText"/>
      </w:pPr>
      <w:r>
        <w:t xml:space="preserve">Disclaimer: This report is generated based on available data, industry standards, and specific parameters provided.</w:t>
      </w:r>
      <w:r>
        <w:t xml:space="preserve"> </w:t>
      </w:r>
      <w:r>
        <w:t xml:space="preserve">While every effort has been made to ensure accuracy, actual emissions may vary due to real-world complexities.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fgmoemrjxn</w:t>
      </w:r>
    </w:p>
    <w:p>
      <w:pPr>
        <w:pStyle w:val="BodyText"/>
      </w:pPr>
      <w:r>
        <w:rPr>
          <w:bCs/>
          <w:b/>
        </w:rPr>
        <w:t xml:space="preserve">Generated Date:</w:t>
      </w:r>
      <w:r>
        <w:t xml:space="preserve"> </w:t>
      </w:r>
      <w:r>
        <w:t xml:space="preserve">June 3, 2026</w:t>
      </w:r>
    </w:p>
    <w:bookmarkEnd w:id="21"/>
    <w:p>
      <w:pPr>
        <w:pStyle w:val="BodyText"/>
      </w:pPr>
      <w:r>
        <w:t xml:space="preserve">This document presents a high-detail Product Carbon Footprint (PCF) analysis for \'fgmoemrjxn\', conducted by gupxessvkw, a Senior Sustainability Consultant specializing in GHG Protocol. The analysis adheres to the GHG Protocol accounting standard, providing a comprehensive assessment of greenhouse gas emissions across the product\'s lifecycle. The aim is to identify major emission hotspots and provide a foundation for emission reduction strategies for sffdgxwrwr.</w:t>
      </w:r>
    </w:p>
    <w:p>
      <w:r>
        <w:pict>
          <v:rect style="width:0;height:1.5pt" o:hralign="center" o:hrstd="t" o:hr="t"/>
        </w:pict>
      </w:r>
    </w:p>
    <w:bookmarkStart w:id="22" w:name="executive-summary"/>
    <w:p>
      <w:pPr>
        <w:pStyle w:val="Heading2"/>
      </w:pPr>
      <w:r>
        <w:t xml:space="preserve">Executive Summary</w:t>
      </w:r>
    </w:p>
    <w:p>
      <w:pPr>
        <w:pStyle w:val="FirstParagraph"/>
      </w:pPr>
      <w:r>
        <w:t xml:space="preserve">The Product Carbon Footprint (PCF) for one functional unit of fgmoemrjxn is calculated to be</w:t>
      </w:r>
      <w:r>
        <w:t xml:space="preserve"> </w:t>
      </w:r>
      <w:r>
        <w:rPr>
          <w:bCs/>
          <w:b/>
        </w:rPr>
        <w:t xml:space="preserve">26.78 kg CO2e</w:t>
      </w:r>
      <w:r>
        <w:t xml:space="preserve">. The primary emission hotspots are identified in the Use Phase (46.75%), followed by the Manufacturing/Production phase (34.91%), and Upstream Materials (17.88%). This report provides a detailed breakdown of emissions across the product\'s lifecycle, from raw material extraction to end-of-life, categorizing them according to GHG Protocol Scope 1, 2, and 3 emissions. The analysis incorporates specific company and product parameters, including detailed bill of materials, energy usage, transport logistics, and end-of-life scenarios.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first step in this Product Carbon Footprint analysis is to clearly define the scope of the assessment, ensuring consistency and transparency in reporting.</w:t>
      </w:r>
    </w:p>
    <w:p>
      <w:pPr>
        <w:numPr>
          <w:ilvl w:val="0"/>
          <w:numId w:val="1001"/>
        </w:numPr>
        <w:pStyle w:val="Compact"/>
      </w:pPr>
      <w:r>
        <w:rPr>
          <w:bCs/>
          <w:b/>
        </w:rPr>
        <w:t xml:space="preserve">Functional Unit:</w:t>
      </w:r>
      <w:r>
        <w:t xml:space="preserve"> </w:t>
      </w:r>
      <w:r>
        <w:t xml:space="preserve">The reference unit for this PCF is</w:t>
      </w:r>
      <w:r>
        <w:t xml:space="preserve"> </w:t>
      </w:r>
      <w:r>
        <w:rPr>
          <w:bCs/>
          <w:b/>
        </w:rPr>
        <w:t xml:space="preserve">1.0 unit of fgmoemrjxn</w:t>
      </w:r>
      <w:r>
        <w:t xml:space="preserve">.</w:t>
      </w:r>
    </w:p>
    <w:p>
      <w:pPr>
        <w:numPr>
          <w:ilvl w:val="0"/>
          <w:numId w:val="1001"/>
        </w:numPr>
        <w:pStyle w:val="Compact"/>
      </w:pPr>
      <w:r>
        <w:rPr>
          <w:bCs/>
          <w:b/>
        </w:rPr>
        <w:t xml:space="preserve">System Boundary:</w:t>
      </w:r>
      <w:r>
        <w:t xml:space="preserve"> </w:t>
      </w:r>
      <w:r>
        <w:t xml:space="preserve">The overall analysis encompasses a</w:t>
      </w:r>
      <w:r>
        <w:t xml:space="preserve"> </w:t>
      </w:r>
      <w:r>
        <w:rPr>
          <w:bCs/>
          <w:b/>
        </w:rPr>
        <w:t xml:space="preserve">cradle-to-grave</w:t>
      </w:r>
      <w:r>
        <w:t xml:space="preserve"> </w:t>
      </w:r>
      <w:r>
        <w:t xml:space="preserve">perspective, including raw material acquisition, manufacturing, distribution, use-phase, and end-of-life. While the primary production boundary specified was "factory_gate", the detailed requirements for use phase and end-of-life calculations necessitated an expansion to full lifecycle for the comprehensive PCF. This approach aligns with the GHG Protocol Product Life Cycle Accounting and Reporting Standard.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distribution to and usage within Europe).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Emissions are allocated directly to the functional unit. No co-product allocation was deemed necessary for this assessment given the nature of the product.</w:t>
      </w:r>
    </w:p>
    <w:p>
      <w:r>
        <w:pict>
          <v:rect style="width:0;height:1.5pt" o:hralign="center" o:hrstd="t" o:hr="t"/>
        </w:pict>
      </w:r>
    </w:p>
    <w:bookmarkEnd w:id="23"/>
    <w:bookmarkStart w:id="24" w:name="X542f76fa90b8a25b290195d7561ab00841a35f7"/>
    <w:p>
      <w:pPr>
        <w:pStyle w:val="Heading2"/>
      </w:pPr>
      <w:r>
        <w:t xml:space="preserve">2. Mapping the Lifecycle (Life Cycle Inventory Stages)</w:t>
      </w:r>
    </w:p>
    <w:p>
      <w:pPr>
        <w:pStyle w:val="FirstParagraph"/>
      </w:pPr>
      <w:r>
        <w:t xml:space="preserve">The lifecycle of fgmoemrjxn has been mapped into the following stages for inventory collection and emission calculation:</w:t>
      </w:r>
    </w:p>
    <w:p>
      <w:pPr>
        <w:numPr>
          <w:ilvl w:val="0"/>
          <w:numId w:val="1003"/>
        </w:numPr>
        <w:pStyle w:val="Compact"/>
      </w:pPr>
      <w:r>
        <w:rPr>
          <w:bCs/>
          <w:b/>
        </w:rPr>
        <w:t xml:space="preserve">Raw Material Acquisition &amp; Pre-processing:</w:t>
      </w:r>
      <w:r>
        <w:t xml:space="preserve"> </w:t>
      </w:r>
      <w:r>
        <w:t xml:space="preserve">Covers the extraction, processing, and manufacturing of all materials listed in the Bill of Materials (BOM) up to their point of entry at the manufacturing facility. These are primarily Scope 3 upstream emissions.</w:t>
      </w:r>
    </w:p>
    <w:p>
      <w:pPr>
        <w:numPr>
          <w:ilvl w:val="0"/>
          <w:numId w:val="1003"/>
        </w:numPr>
        <w:pStyle w:val="Compact"/>
      </w:pPr>
      <w:r>
        <w:rPr>
          <w:bCs/>
          <w:b/>
        </w:rPr>
        <w:t xml:space="preserve">Manufacturing/Production:</w:t>
      </w:r>
      <w:r>
        <w:t xml:space="preserve"> </w:t>
      </w:r>
      <w:r>
        <w:t xml:space="preserve">Includes all energy consumption associated with the assembly and production processes of fgmoemrjxn in the final production country (China). This stage accounts for Scope 1 (direct onsite, assumed minimal for this product) and Scope 2 (purchased electricity) emissions.</w:t>
      </w:r>
    </w:p>
    <w:p>
      <w:pPr>
        <w:numPr>
          <w:ilvl w:val="0"/>
          <w:numId w:val="1003"/>
        </w:numPr>
        <w:pStyle w:val="Compact"/>
      </w:pPr>
      <w:r>
        <w:rPr>
          <w:bCs/>
          <w:b/>
        </w:rPr>
        <w:t xml:space="preserve">Transport &amp; Distribution:</w:t>
      </w:r>
      <w:r>
        <w:t xml:space="preserve"> </w:t>
      </w:r>
      <w:r>
        <w:t xml:space="preserve">Encompasses the logistics from suppliers to the manufacturing plant, and from the manufacturing plant to the end-consumer (Europe Focused). This falls under Scope 3 upstream and downstream emissions.</w:t>
      </w:r>
    </w:p>
    <w:p>
      <w:pPr>
        <w:numPr>
          <w:ilvl w:val="0"/>
          <w:numId w:val="1003"/>
        </w:numPr>
        <w:pStyle w:val="Compact"/>
      </w:pPr>
      <w:r>
        <w:rPr>
          <w:bCs/>
          <w:b/>
        </w:rPr>
        <w:t xml:space="preserve">Use Phase:</w:t>
      </w:r>
      <w:r>
        <w:t xml:space="preserve"> </w:t>
      </w:r>
      <w:r>
        <w:t xml:space="preserve">Accounts for the energy consumption of the product during its lifespan, based on user behavior and typical usage patterns. This is categorized as Scope 3 downstream emissions.</w:t>
      </w:r>
    </w:p>
    <w:p>
      <w:pPr>
        <w:numPr>
          <w:ilvl w:val="0"/>
          <w:numId w:val="1003"/>
        </w:numPr>
        <w:pStyle w:val="Compact"/>
      </w:pPr>
      <w:r>
        <w:rPr>
          <w:bCs/>
          <w:b/>
        </w:rPr>
        <w:t xml:space="preserve">End-of-Life (EoL):</w:t>
      </w:r>
      <w:r>
        <w:t xml:space="preserve"> </w:t>
      </w:r>
      <w:r>
        <w:t xml:space="preserve">Includes the processes associated with the disposal or recycling of the product at the end of its useful life. These are Scope 3 downstream emissions.</w:t>
      </w:r>
    </w:p>
    <w:p>
      <w:r>
        <w:pict>
          <v:rect style="width:0;height:1.5pt" o:hralign="center" o:hrstd="t" o:hr="t"/>
        </w:pict>
      </w:r>
    </w:p>
    <w:bookmarkEnd w:id="24"/>
    <w:bookmarkStart w:id="30" w:name="data-collection"/>
    <w:p>
      <w:pPr>
        <w:pStyle w:val="Heading2"/>
      </w:pPr>
      <w:r>
        <w:t xml:space="preserve">3. Data Collection</w:t>
      </w:r>
    </w:p>
    <w:p>
      <w:pPr>
        <w:pStyle w:val="FirstParagraph"/>
      </w:pPr>
      <w:r>
        <w:t xml:space="preserve">Data for this PCF analysis was collected from various sources, incorporating specific parameters provided by sffdgxwrwr for high accuracy. Where specific primary data was unavailable, industry-standard secondary data and reasonable assumptions were applied.</w:t>
      </w:r>
    </w:p>
    <w:bookmarkStart w:id="25" w:name="detailed-bill-of-materials-bom-zmzxrvtz"/>
    <w:p>
      <w:pPr>
        <w:pStyle w:val="Heading3"/>
      </w:pPr>
      <w:r>
        <w:t xml:space="preserve">3.1. Detailed Bill of Materials (BOM): zmzxrvtz</w:t>
      </w:r>
    </w:p>
    <w:p>
      <w:pPr>
        <w:pStyle w:val="FirstParagraph"/>
      </w:pPr>
      <w:r>
        <w:t xml:space="preserve">The following detailed Bill of Materials (BOM) was used to calculate the material impact of fgmoemrjxn. The \'Total Carbon\' for each item represents its upstream emissions (cradle-to-gate for the material itself) based on its quantity and specific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8.0</w:t>
            </w:r>
          </w:p>
        </w:tc>
        <w:tc>
          <w:tcPr/>
          <w:p>
            <w:pPr>
              <w:pStyle w:val="Compact"/>
              <w:jc w:val="left"/>
            </w:pPr>
            <w:r>
              <w:t xml:space="preserve">0.64</w:t>
            </w:r>
          </w:p>
        </w:tc>
      </w:tr>
      <w:tr>
        <w:tc>
          <w:tcPr/>
          <w:p>
            <w:pPr>
              <w:pStyle w:val="Compact"/>
              <w:jc w:val="left"/>
            </w:pPr>
            <w:r>
              <w:t xml:space="preserve">M006</w:t>
            </w:r>
          </w:p>
        </w:tc>
        <w:tc>
          <w:tcPr/>
          <w:p>
            <w:pPr>
              <w:pStyle w:val="Compact"/>
              <w:jc w:val="left"/>
            </w:pPr>
            <w:r>
              <w:t xml:space="preserve">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M007</w:t>
            </w:r>
          </w:p>
        </w:tc>
        <w:tc>
          <w:tcPr/>
          <w:p>
            <w:pPr>
              <w:pStyle w:val="Compact"/>
              <w:jc w:val="left"/>
            </w:pPr>
            <w:r>
              <w:t xml:space="preserve">Packaging (Carton)</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M008</w:t>
            </w:r>
          </w:p>
        </w:tc>
        <w:tc>
          <w:tcPr/>
          <w:p>
            <w:pPr>
              <w:pStyle w:val="Compact"/>
              <w:jc w:val="left"/>
            </w:pPr>
            <w:r>
              <w:t xml:space="preserve">User Manual</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bl>
    <w:p>
      <w:pPr>
        <w:pStyle w:val="BodyText"/>
      </w:pPr>
      <w:r>
        <w:rPr>
          <w:bCs/>
          <w:b/>
        </w:rPr>
        <w:t xml:space="preserve">Total Upstream Material Emissions (Scope 3): 4.789 kg CO2e</w:t>
      </w:r>
    </w:p>
    <w:bookmarkEnd w:id="25"/>
    <w:bookmarkStart w:id="26" w:name="energy-inputs-production-phase"/>
    <w:p>
      <w:pPr>
        <w:pStyle w:val="Heading3"/>
      </w:pPr>
      <w:r>
        <w:t xml:space="preserve">3.2. Energy Inputs (Production Phase)</w:t>
      </w:r>
    </w:p>
    <w:p>
      <w:pPr>
        <w:pStyle w:val="FirstParagraph"/>
      </w:pPr>
      <w:r>
        <w:t xml:space="preserve">Energy consumption data for the manufacturing phase of fgmoemrjxn:</w:t>
      </w:r>
    </w:p>
    <w:p>
      <w:pPr>
        <w:numPr>
          <w:ilvl w:val="0"/>
          <w:numId w:val="1004"/>
        </w:numPr>
        <w:pStyle w:val="Compact"/>
      </w:pPr>
      <w:r>
        <w:rPr>
          <w:bCs/>
          <w:b/>
        </w:rPr>
        <w:t xml:space="preserve">Energy Intensity (kWh/unit):</w:t>
      </w:r>
      <w:r>
        <w:t xml:space="preserve"> </w:t>
      </w:r>
      <w:r>
        <w:t xml:space="preserve">gkdmqmtwni = 50 kWh/unit</w:t>
      </w:r>
    </w:p>
    <w:p>
      <w:pPr>
        <w:numPr>
          <w:ilvl w:val="0"/>
          <w:numId w:val="1004"/>
        </w:numPr>
        <w:pStyle w:val="Compact"/>
      </w:pPr>
      <w:r>
        <w:rPr>
          <w:bCs/>
          <w:b/>
        </w:rPr>
        <w:t xml:space="preserve">Renewable Energy Usage (Percentage):</w:t>
      </w:r>
      <w:r>
        <w:t xml:space="preserve"> </w:t>
      </w:r>
      <w:r>
        <w:t xml:space="preserve">gssxyogihf = 70%</w:t>
      </w:r>
    </w:p>
    <w:p>
      <w:pPr>
        <w:numPr>
          <w:ilvl w:val="0"/>
          <w:numId w:val="1004"/>
        </w:numPr>
        <w:pStyle w:val="Compact"/>
      </w:pPr>
      <w:r>
        <w:rPr>
          <w:bCs/>
          <w:b/>
        </w:rPr>
        <w:t xml:space="preserve">Non-renewable Electricity:</w:t>
      </w:r>
      <w:r>
        <w:t xml:space="preserve"> </w:t>
      </w:r>
      <w:r>
        <w:t xml:space="preserve">15 kWh/unit (30%)</w:t>
      </w:r>
    </w:p>
    <w:p>
      <w:pPr>
        <w:numPr>
          <w:ilvl w:val="0"/>
          <w:numId w:val="1004"/>
        </w:numPr>
        <w:pStyle w:val="Compact"/>
      </w:pPr>
      <w:r>
        <w:rPr>
          <w:bCs/>
          <w:b/>
        </w:rPr>
        <w:t xml:space="preserve">Renewable Electricity:</w:t>
      </w:r>
      <w:r>
        <w:t xml:space="preserve"> </w:t>
      </w:r>
      <w:r>
        <w:t xml:space="preserve">35 kWh/unit (70%)</w:t>
      </w:r>
    </w:p>
    <w:p>
      <w:pPr>
        <w:numPr>
          <w:ilvl w:val="0"/>
          <w:numId w:val="1004"/>
        </w:numPr>
        <w:pStyle w:val="Compact"/>
      </w:pPr>
      <w:r>
        <w:rPr>
          <w:bCs/>
          <w:b/>
        </w:rPr>
        <w:t xml:space="preserve">Assumed Grid Emission Factor (China):</w:t>
      </w:r>
      <w:r>
        <w:t xml:space="preserve"> </w:t>
      </w:r>
      <w:r>
        <w:t xml:space="preserve">0.6 kg CO2e/kWh</w:t>
      </w:r>
    </w:p>
    <w:p>
      <w:pPr>
        <w:numPr>
          <w:ilvl w:val="0"/>
          <w:numId w:val="1004"/>
        </w:numPr>
        <w:pStyle w:val="Compact"/>
      </w:pPr>
      <w:r>
        <w:rPr>
          <w:bCs/>
          <w:b/>
        </w:rPr>
        <w:t xml:space="preserve">Assumed Renewable Energy Emission Factor:</w:t>
      </w:r>
      <w:r>
        <w:t xml:space="preserve"> </w:t>
      </w:r>
      <w:r>
        <w:t xml:space="preserve">0.01 kg CO2e/kWh (reflecting embedded emissions in infrastructure)</w:t>
      </w:r>
    </w:p>
    <w:bookmarkEnd w:id="26"/>
    <w:bookmarkStart w:id="27" w:name="logistics-data-transport-distribution"/>
    <w:p>
      <w:pPr>
        <w:pStyle w:val="Heading3"/>
      </w:pPr>
      <w:r>
        <w:t xml:space="preserve">3.3. Logistics Data (Transport &amp; Distribution)</w:t>
      </w:r>
    </w:p>
    <w:p>
      <w:pPr>
        <w:pStyle w:val="FirstParagraph"/>
      </w:pPr>
      <w:r>
        <w:t xml:space="preserve">Logistics parameters defining the transportation impacts:</w:t>
      </w:r>
    </w:p>
    <w:p>
      <w:pPr>
        <w:numPr>
          <w:ilvl w:val="0"/>
          <w:numId w:val="1005"/>
        </w:numPr>
        <w:pStyle w:val="Compact"/>
      </w:pPr>
      <w:r>
        <w:rPr>
          <w:bCs/>
          <w:b/>
        </w:rPr>
        <w:t xml:space="preserve">Total Product Weight (including packaging):</w:t>
      </w:r>
      <w:r>
        <w:t xml:space="preserve"> </w:t>
      </w:r>
      <w:r>
        <w:t xml:space="preserve">1.11 kg (0.00111 tonnes)</w:t>
      </w:r>
    </w:p>
    <w:p>
      <w:pPr>
        <w:numPr>
          <w:ilvl w:val="0"/>
          <w:numId w:val="1005"/>
        </w:numPr>
        <w:pStyle w:val="Compact"/>
      </w:pPr>
      <w:r>
        <w:rPr>
          <w:bCs/>
          <w:b/>
        </w:rPr>
        <w:t xml:space="preserve">Primary Transport Mode (China to Europe Hub):</w:t>
      </w:r>
      <w:r>
        <w:t xml:space="preserve"> </w:t>
      </w:r>
      <w:r>
        <w:t xml:space="preserve">Sea Freight</w:t>
      </w:r>
    </w:p>
    <w:p>
      <w:pPr>
        <w:numPr>
          <w:ilvl w:val="0"/>
          <w:numId w:val="1005"/>
        </w:numPr>
        <w:pStyle w:val="Compact"/>
      </w:pPr>
      <w:r>
        <w:rPr>
          <w:bCs/>
          <w:b/>
        </w:rPr>
        <w:t xml:space="preserve">Primary Transport Distance (Sea):</w:t>
      </w:r>
      <w:r>
        <w:t xml:space="preserve"> </w:t>
      </w:r>
      <w:r>
        <w:t xml:space="preserve">Assumed 15,000 km</w:t>
      </w:r>
    </w:p>
    <w:p>
      <w:pPr>
        <w:numPr>
          <w:ilvl w:val="0"/>
          <w:numId w:val="1005"/>
        </w:numPr>
        <w:pStyle w:val="Compact"/>
      </w:pPr>
      <w:r>
        <w:rPr>
          <w:bCs/>
          <w:b/>
        </w:rPr>
        <w:t xml:space="preserve">Primary Transport Emission Factor (Sea Freight):</w:t>
      </w:r>
      <w:r>
        <w:t xml:space="preserve"> </w:t>
      </w:r>
      <w:r>
        <w:t xml:space="preserve">0.005 kg CO2e/tkm</w:t>
      </w:r>
    </w:p>
    <w:p>
      <w:pPr>
        <w:numPr>
          <w:ilvl w:val="0"/>
          <w:numId w:val="1005"/>
        </w:numPr>
        <w:pStyle w:val="Compact"/>
      </w:pPr>
      <w:r>
        <w:rPr>
          <w:bCs/>
          <w:b/>
        </w:rPr>
        <w:t xml:space="preserve">Secondary Transport Mode (Europe Hub to Regional Distribution):</w:t>
      </w:r>
      <w:r>
        <w:t xml:space="preserve"> </w:t>
      </w:r>
      <w:r>
        <w:t xml:space="preserve">Road Freight (HGV &gt; 26t)</w:t>
      </w:r>
    </w:p>
    <w:p>
      <w:pPr>
        <w:numPr>
          <w:ilvl w:val="0"/>
          <w:numId w:val="1005"/>
        </w:numPr>
        <w:pStyle w:val="Compact"/>
      </w:pPr>
      <w:r>
        <w:rPr>
          <w:bCs/>
          <w:b/>
        </w:rPr>
        <w:t xml:space="preserve">Secondary Transport Distance (Road):</w:t>
      </w:r>
      <w:r>
        <w:t xml:space="preserve"> </w:t>
      </w:r>
      <w:r>
        <w:t xml:space="preserve">jzndkkdyjy = 1500 km</w:t>
      </w:r>
    </w:p>
    <w:p>
      <w:pPr>
        <w:numPr>
          <w:ilvl w:val="0"/>
          <w:numId w:val="1005"/>
        </w:numPr>
        <w:pStyle w:val="Compact"/>
      </w:pPr>
      <w:r>
        <w:rPr>
          <w:bCs/>
          <w:b/>
        </w:rPr>
        <w:t xml:space="preserve">Secondary Transport Emission Factor (Road Freight):</w:t>
      </w:r>
      <w:r>
        <w:t xml:space="preserve"> </w:t>
      </w:r>
      <w:r>
        <w:t xml:space="preserve">0.020 kg CO2e/tkm</w:t>
      </w:r>
    </w:p>
    <w:p>
      <w:pPr>
        <w:numPr>
          <w:ilvl w:val="0"/>
          <w:numId w:val="1005"/>
        </w:numPr>
        <w:pStyle w:val="Compact"/>
      </w:pPr>
      <w:r>
        <w:rPr>
          <w:bCs/>
          <w:b/>
        </w:rPr>
        <w:t xml:space="preserve">Last-Mile Delivery Channel:</w:t>
      </w:r>
      <w:r>
        <w:t xml:space="preserve"> </w:t>
      </w:r>
      <w:r>
        <w:t xml:space="preserve">Delivery Type (Light Commercial Vehicle - LCV)</w:t>
      </w:r>
    </w:p>
    <w:p>
      <w:pPr>
        <w:numPr>
          <w:ilvl w:val="0"/>
          <w:numId w:val="1005"/>
        </w:numPr>
        <w:pStyle w:val="Compact"/>
      </w:pPr>
      <w:r>
        <w:rPr>
          <w:bCs/>
          <w:b/>
        </w:rPr>
        <w:t xml:space="preserve">Last-Mile Delivery Distance:</w:t>
      </w:r>
      <w:r>
        <w:t xml:space="preserve"> </w:t>
      </w:r>
      <w:r>
        <w:t xml:space="preserve">Assumed 50 km</w:t>
      </w:r>
    </w:p>
    <w:p>
      <w:pPr>
        <w:numPr>
          <w:ilvl w:val="0"/>
          <w:numId w:val="1005"/>
        </w:numPr>
        <w:pStyle w:val="Compact"/>
      </w:pPr>
      <w:r>
        <w:rPr>
          <w:bCs/>
          <w:b/>
        </w:rPr>
        <w:t xml:space="preserve">Last-Mile Delivery Emission Factor (LCV):</w:t>
      </w:r>
      <w:r>
        <w:t xml:space="preserve"> </w:t>
      </w:r>
      <w:r>
        <w:t xml:space="preserve">0.10 kg CO2e/tkm</w:t>
      </w:r>
    </w:p>
    <w:bookmarkEnd w:id="27"/>
    <w:bookmarkStart w:id="28" w:name="use-phase-data"/>
    <w:p>
      <w:pPr>
        <w:pStyle w:val="Heading3"/>
      </w:pPr>
      <w:r>
        <w:t xml:space="preserve">3.4. Use Phase Data</w:t>
      </w:r>
    </w:p>
    <w:p>
      <w:pPr>
        <w:pStyle w:val="FirstParagraph"/>
      </w:pPr>
      <w:r>
        <w:t xml:space="preserve">Data specific to the product\'s use by the end-consumer:</w:t>
      </w:r>
    </w:p>
    <w:p>
      <w:pPr>
        <w:numPr>
          <w:ilvl w:val="0"/>
          <w:numId w:val="1006"/>
        </w:numPr>
        <w:pStyle w:val="Compact"/>
      </w:pPr>
      <w:r>
        <w:rPr>
          <w:bCs/>
          <w:b/>
        </w:rPr>
        <w:t xml:space="preserve">Product Lifespan:</w:t>
      </w:r>
      <w:r>
        <w:t xml:space="preserve"> </w:t>
      </w:r>
      <w:r>
        <w:t xml:space="preserve">jgzwhrhxme = 5 years</w:t>
      </w:r>
    </w:p>
    <w:p>
      <w:pPr>
        <w:numPr>
          <w:ilvl w:val="0"/>
          <w:numId w:val="1006"/>
        </w:numPr>
        <w:pStyle w:val="Compact"/>
      </w:pPr>
      <w:r>
        <w:rPr>
          <w:bCs/>
          <w:b/>
        </w:rPr>
        <w:t xml:space="preserve">Energy Consumption in Use:</w:t>
      </w:r>
      <w:r>
        <w:t xml:space="preserve"> </w:t>
      </w:r>
      <w:r>
        <w:t xml:space="preserve">ereehthvge = 10 kWh/year</w:t>
      </w:r>
    </w:p>
    <w:p>
      <w:pPr>
        <w:numPr>
          <w:ilvl w:val="0"/>
          <w:numId w:val="1006"/>
        </w:numPr>
        <w:pStyle w:val="Compact"/>
      </w:pPr>
      <w:r>
        <w:rPr>
          <w:bCs/>
          <w:b/>
        </w:rPr>
        <w:t xml:space="preserve">Assumed User Grid Emission Factor (Europe Average):</w:t>
      </w:r>
      <w:r>
        <w:t xml:space="preserve"> </w:t>
      </w:r>
      <w:r>
        <w:t xml:space="preserve">0.25 kg CO2e/kWh</w:t>
      </w:r>
    </w:p>
    <w:bookmarkEnd w:id="28"/>
    <w:bookmarkStart w:id="29" w:name="end-of-life-eol-scenarios"/>
    <w:p>
      <w:pPr>
        <w:pStyle w:val="Heading3"/>
      </w:pPr>
      <w:r>
        <w:t xml:space="preserve">3.5. End-of-Life (EoL) Scenarios</w:t>
      </w:r>
    </w:p>
    <w:p>
      <w:pPr>
        <w:pStyle w:val="FirstParagraph"/>
      </w:pPr>
      <w:r>
        <w:t xml:space="preserve">Parameters for assessing the environmental impact at the end of the product\'s life:</w:t>
      </w:r>
    </w:p>
    <w:p>
      <w:pPr>
        <w:numPr>
          <w:ilvl w:val="0"/>
          <w:numId w:val="1007"/>
        </w:numPr>
        <w:pStyle w:val="Compact"/>
      </w:pPr>
      <w:r>
        <w:rPr>
          <w:bCs/>
          <w:b/>
        </w:rPr>
        <w:t xml:space="preserve">Recyclability Percentage:</w:t>
      </w:r>
      <w:r>
        <w:t xml:space="preserve"> </w:t>
      </w:r>
      <w:r>
        <w:t xml:space="preserve">tswxywmkwh = 80%</w:t>
      </w:r>
    </w:p>
    <w:p>
      <w:pPr>
        <w:numPr>
          <w:ilvl w:val="0"/>
          <w:numId w:val="1007"/>
        </w:numPr>
        <w:pStyle w:val="Compact"/>
      </w:pPr>
      <w:r>
        <w:rPr>
          <w:bCs/>
          <w:b/>
        </w:rPr>
        <w:t xml:space="preserve">Circular/Take-back Programs:</w:t>
      </w:r>
      <w:r>
        <w:t xml:space="preserve"> </w:t>
      </w:r>
      <w:r>
        <w:t xml:space="preserve">wpvyjoiqgx (Assumed to reduce non-recycled waste emissions by 5%)</w:t>
      </w:r>
    </w:p>
    <w:p>
      <w:pPr>
        <w:numPr>
          <w:ilvl w:val="0"/>
          <w:numId w:val="1007"/>
        </w:numPr>
        <w:pStyle w:val="Compact"/>
      </w:pPr>
      <w:r>
        <w:rPr>
          <w:bCs/>
          <w:b/>
        </w:rPr>
        <w:t xml:space="preserve">Assumed EoL Emission Factor (for non-recycled waste):</w:t>
      </w:r>
      <w:r>
        <w:t xml:space="preserve"> </w:t>
      </w:r>
      <w:r>
        <w:t xml:space="preserve">0.1 kg CO2e/kg.</w:t>
      </w:r>
    </w:p>
    <w:p>
      <w:r>
        <w:pict>
          <v:rect style="width:0;height:1.5pt" o:hralign="center" o:hrstd="t" o:hr="t"/>
        </w:pict>
      </w:r>
    </w:p>
    <w:bookmarkEnd w:id="29"/>
    <w:bookmarkEnd w:id="30"/>
    <w:bookmarkStart w:id="36" w:name="emission-calculation"/>
    <w:p>
      <w:pPr>
        <w:pStyle w:val="Heading2"/>
      </w:pPr>
      <w:r>
        <w:t xml:space="preserve">4. Emission Calculation</w:t>
      </w:r>
    </w:p>
    <w:p>
      <w:pPr>
        <w:pStyle w:val="FirstParagraph"/>
      </w:pPr>
      <w:r>
        <w:t xml:space="preserve">Emissions were calculated for each lifecycle stage by multiplying the activity data by appropriate emission factors. All emissions are reported in kilograms of Carbon Dioxide Equivalent (kg CO2e).</w:t>
      </w:r>
    </w:p>
    <w:bookmarkStart w:id="31" w:name="Xc4898b6d4ce30ff608b86aff4c2bdf5979f8ac9"/>
    <w:p>
      <w:pPr>
        <w:pStyle w:val="Heading3"/>
      </w:pPr>
      <w:r>
        <w:t xml:space="preserve">4.1. Raw Material Acquisition &amp; Pre-processing (Scope 3 Upstream)</w:t>
      </w:r>
    </w:p>
    <w:p>
      <w:pPr>
        <w:pStyle w:val="FirstParagraph"/>
      </w:pPr>
      <w:r>
        <w:t xml:space="preserve">Based on the provided BOM, the total emissions from the production of raw materials and components are:</w:t>
      </w:r>
    </w:p>
    <w:p>
      <w:pPr>
        <w:pStyle w:val="BodyText"/>
      </w:pPr>
      <w:r>
        <w:rPr>
          <w:bCs/>
          <w:b/>
        </w:rPr>
        <w:t xml:space="preserve">Total: 4.789 kg CO2e</w:t>
      </w:r>
    </w:p>
    <w:bookmarkEnd w:id="31"/>
    <w:bookmarkStart w:id="32" w:name="manufacturingproduction-scope-1-2"/>
    <w:p>
      <w:pPr>
        <w:pStyle w:val="Heading3"/>
      </w:pPr>
      <w:r>
        <w:t xml:space="preserve">4.2. Manufacturing/Production (Scope 1 &amp; 2)</w:t>
      </w:r>
    </w:p>
    <w:p>
      <w:pPr>
        <w:pStyle w:val="FirstParagraph"/>
      </w:pPr>
      <w:r>
        <w:t xml:space="preserve">Emissions from the manufacturing processes are primarily driven by electricity consumption.</w:t>
      </w:r>
    </w:p>
    <w:p>
      <w:pPr>
        <w:numPr>
          <w:ilvl w:val="0"/>
          <w:numId w:val="1008"/>
        </w:numPr>
        <w:pStyle w:val="Compact"/>
      </w:pPr>
      <w:r>
        <w:rPr>
          <w:bCs/>
          <w:b/>
        </w:rPr>
        <w:t xml:space="preserve">Non-renewable electricity emissions:</w:t>
      </w:r>
      <w:r>
        <w:t xml:space="preserve"> </w:t>
      </w:r>
      <w:r>
        <w:t xml:space="preserve">15 kWh * 0.6 kg CO2e/kWh = 9.0 kg CO2e (Scope 2)</w:t>
      </w:r>
    </w:p>
    <w:p>
      <w:pPr>
        <w:numPr>
          <w:ilvl w:val="0"/>
          <w:numId w:val="1008"/>
        </w:numPr>
        <w:pStyle w:val="Compact"/>
      </w:pPr>
      <w:r>
        <w:rPr>
          <w:bCs/>
          <w:b/>
        </w:rPr>
        <w:t xml:space="preserve">Renewable electricity emissions:</w:t>
      </w:r>
      <w:r>
        <w:t xml:space="preserve"> </w:t>
      </w:r>
      <w:r>
        <w:t xml:space="preserve">35 kWh * 0.01 kg CO2e/kWh = 0.35 kg CO2e (Scope 2)</w:t>
      </w:r>
    </w:p>
    <w:p>
      <w:pPr>
        <w:numPr>
          <w:ilvl w:val="0"/>
          <w:numId w:val="1008"/>
        </w:numPr>
        <w:pStyle w:val="Compact"/>
      </w:pPr>
      <w:r>
        <w:rPr>
          <w:bCs/>
          <w:b/>
        </w:rPr>
        <w:t xml:space="preserve">Scope 1 Emissions:</w:t>
      </w:r>
      <w:r>
        <w:t xml:space="preserve"> </w:t>
      </w:r>
      <w:r>
        <w:t xml:space="preserve">Assumed negligible or embedded within energy factors for simplified processes.</w:t>
      </w:r>
    </w:p>
    <w:p>
      <w:pPr>
        <w:pStyle w:val="FirstParagraph"/>
      </w:pPr>
      <w:r>
        <w:rPr>
          <w:bCs/>
          <w:b/>
        </w:rPr>
        <w:t xml:space="preserve">Total Manufacturing Emissions: 9.35 kg CO2e (Scope 2)</w:t>
      </w:r>
    </w:p>
    <w:bookmarkEnd w:id="32"/>
    <w:bookmarkStart w:id="33" w:name="X45e388afdf7a8647ab796ac0e85ba0258580a0e"/>
    <w:p>
      <w:pPr>
        <w:pStyle w:val="Heading3"/>
      </w:pPr>
      <w:r>
        <w:t xml:space="preserve">4.3. Transport &amp; Distribution (Scope 3 Upstream &amp; Downstream)</w:t>
      </w:r>
    </w:p>
    <w:p>
      <w:pPr>
        <w:pStyle w:val="FirstParagraph"/>
      </w:pPr>
      <w:r>
        <w:t xml:space="preserve">Emissions from transporting the product from origin to the end-user:</w:t>
      </w:r>
    </w:p>
    <w:p>
      <w:pPr>
        <w:numPr>
          <w:ilvl w:val="0"/>
          <w:numId w:val="1009"/>
        </w:numPr>
        <w:pStyle w:val="Compact"/>
      </w:pPr>
      <w:r>
        <w:rPr>
          <w:bCs/>
          <w:b/>
        </w:rPr>
        <w:t xml:space="preserve">Sea Freight:</w:t>
      </w:r>
      <w:r>
        <w:t xml:space="preserve"> </w:t>
      </w:r>
      <w:r>
        <w:t xml:space="preserve">0.00111 t * 15,000 km * 0.005 kg CO2e/tkm = 0.08325 kg CO2e (Scope 3)</w:t>
      </w:r>
    </w:p>
    <w:p>
      <w:pPr>
        <w:numPr>
          <w:ilvl w:val="0"/>
          <w:numId w:val="1009"/>
        </w:numPr>
        <w:pStyle w:val="Compact"/>
      </w:pPr>
      <w:r>
        <w:rPr>
          <w:bCs/>
          <w:b/>
        </w:rPr>
        <w:t xml:space="preserve">Road Freight:</w:t>
      </w:r>
      <w:r>
        <w:t xml:space="preserve"> </w:t>
      </w:r>
      <w:r>
        <w:t xml:space="preserve">0.00111 t * 1,500 km * 0.020 kg CO2e/tkm = 0.0333 kg CO2e (Scope 3)</w:t>
      </w:r>
    </w:p>
    <w:p>
      <w:pPr>
        <w:numPr>
          <w:ilvl w:val="0"/>
          <w:numId w:val="1009"/>
        </w:numPr>
        <w:pStyle w:val="Compact"/>
      </w:pPr>
      <w:r>
        <w:rPr>
          <w:bCs/>
          <w:b/>
        </w:rPr>
        <w:t xml:space="preserve">Last-Mile Delivery (LCV):</w:t>
      </w:r>
      <w:r>
        <w:t xml:space="preserve"> </w:t>
      </w:r>
      <w:r>
        <w:t xml:space="preserve">0.00111 t * 50 km * 0.10 kg CO2e/tkm = 0.00555 kg CO2e (Scope 3)</w:t>
      </w:r>
    </w:p>
    <w:p>
      <w:pPr>
        <w:pStyle w:val="FirstParagraph"/>
      </w:pPr>
      <w:r>
        <w:rPr>
          <w:bCs/>
          <w:b/>
        </w:rPr>
        <w:t xml:space="preserve">Total Transport Emissions: 0.1221 kg CO2e (Scope 3)</w:t>
      </w:r>
    </w:p>
    <w:bookmarkEnd w:id="33"/>
    <w:bookmarkStart w:id="34" w:name="use-phase-scope-3-downstream"/>
    <w:p>
      <w:pPr>
        <w:pStyle w:val="Heading3"/>
      </w:pPr>
      <w:r>
        <w:t xml:space="preserve">4.4. Use Phase (Scope 3 Downstream)</w:t>
      </w:r>
    </w:p>
    <w:p>
      <w:pPr>
        <w:pStyle w:val="FirstParagraph"/>
      </w:pPr>
      <w:r>
        <w:t xml:space="preserve">Emissions from the product\'s energy consumption during its active lifespan:</w:t>
      </w:r>
    </w:p>
    <w:p>
      <w:pPr>
        <w:numPr>
          <w:ilvl w:val="0"/>
          <w:numId w:val="1010"/>
        </w:numPr>
        <w:pStyle w:val="Compact"/>
      </w:pPr>
      <w:r>
        <w:rPr>
          <w:bCs/>
          <w:b/>
        </w:rPr>
        <w:t xml:space="preserve">Total Energy Consumption:</w:t>
      </w:r>
      <w:r>
        <w:t xml:space="preserve"> </w:t>
      </w:r>
      <w:r>
        <w:t xml:space="preserve">10 kWh/year * 5 years = 50 kWh</w:t>
      </w:r>
    </w:p>
    <w:p>
      <w:pPr>
        <w:numPr>
          <w:ilvl w:val="0"/>
          <w:numId w:val="1010"/>
        </w:numPr>
        <w:pStyle w:val="Compact"/>
      </w:pPr>
      <w:r>
        <w:rPr>
          <w:bCs/>
          <w:b/>
        </w:rPr>
        <w:t xml:space="preserve">Use Phase Emissions:</w:t>
      </w:r>
      <w:r>
        <w:t xml:space="preserve"> </w:t>
      </w:r>
      <w:r>
        <w:t xml:space="preserve">50 kWh * 0.25 kg CO2e/kWh = 12.5 kg CO2e (Scope 3)</w:t>
      </w:r>
    </w:p>
    <w:p>
      <w:pPr>
        <w:pStyle w:val="FirstParagraph"/>
      </w:pPr>
      <w:r>
        <w:rPr>
          <w:bCs/>
          <w:b/>
        </w:rPr>
        <w:t xml:space="preserve">Total Use Phase Emissions: 12.5 kg CO2e (Scope 3)</w:t>
      </w:r>
    </w:p>
    <w:bookmarkEnd w:id="34"/>
    <w:bookmarkStart w:id="35" w:name="end-of-life-eol-scope-3-downstream"/>
    <w:p>
      <w:pPr>
        <w:pStyle w:val="Heading3"/>
      </w:pPr>
      <w:r>
        <w:t xml:space="preserve">4.5. End-of-Life (EoL) (Scope 3 Downstream)</w:t>
      </w:r>
    </w:p>
    <w:p>
      <w:pPr>
        <w:pStyle w:val="FirstParagraph"/>
      </w:pPr>
      <w:r>
        <w:t xml:space="preserve">Emissions associated with disposal and recycling at the end of the product\'s life:</w:t>
      </w:r>
    </w:p>
    <w:p>
      <w:pPr>
        <w:numPr>
          <w:ilvl w:val="0"/>
          <w:numId w:val="1011"/>
        </w:numPr>
        <w:pStyle w:val="Compact"/>
      </w:pPr>
      <w:r>
        <w:rPr>
          <w:bCs/>
          <w:b/>
        </w:rPr>
        <w:t xml:space="preserve">Total Product Mass:</w:t>
      </w:r>
      <w:r>
        <w:t xml:space="preserve"> </w:t>
      </w:r>
      <w:r>
        <w:t xml:space="preserve">1.11 kg</w:t>
      </w:r>
    </w:p>
    <w:p>
      <w:pPr>
        <w:numPr>
          <w:ilvl w:val="0"/>
          <w:numId w:val="1011"/>
        </w:numPr>
        <w:pStyle w:val="Compact"/>
      </w:pPr>
      <w:r>
        <w:rPr>
          <w:bCs/>
          <w:b/>
        </w:rPr>
        <w:t xml:space="preserve">Mass Recycled (80%):</w:t>
      </w:r>
      <w:r>
        <w:t xml:space="preserve"> </w:t>
      </w:r>
      <w:r>
        <w:t xml:space="preserve">0.888 kg (Assumed zero net emissions for recycled portion due to virgin material displacement, a common simplification in PCF).</w:t>
      </w:r>
    </w:p>
    <w:p>
      <w:pPr>
        <w:numPr>
          <w:ilvl w:val="0"/>
          <w:numId w:val="1011"/>
        </w:numPr>
        <w:pStyle w:val="Compact"/>
      </w:pPr>
      <w:r>
        <w:rPr>
          <w:bCs/>
          <w:b/>
        </w:rPr>
        <w:t xml:space="preserve">Mass Not Recycled (20%):</w:t>
      </w:r>
      <w:r>
        <w:t xml:space="preserve"> </w:t>
      </w:r>
      <w:r>
        <w:t xml:space="preserve">0.222 kg</w:t>
      </w:r>
    </w:p>
    <w:p>
      <w:pPr>
        <w:numPr>
          <w:ilvl w:val="0"/>
          <w:numId w:val="1011"/>
        </w:numPr>
        <w:pStyle w:val="Compact"/>
      </w:pPr>
      <w:r>
        <w:rPr>
          <w:bCs/>
          <w:b/>
        </w:rPr>
        <w:t xml:space="preserve">Adjusted Non-recycled Mass (after Circular Program reduction):</w:t>
      </w:r>
      <w:r>
        <w:t xml:space="preserve"> </w:t>
      </w:r>
      <w:r>
        <w:t xml:space="preserve">0.222 kg * (1 - 0.05) = 0.2109 kg</w:t>
      </w:r>
    </w:p>
    <w:p>
      <w:pPr>
        <w:numPr>
          <w:ilvl w:val="0"/>
          <w:numId w:val="1011"/>
        </w:numPr>
        <w:pStyle w:val="Compact"/>
      </w:pPr>
      <w:r>
        <w:rPr>
          <w:bCs/>
          <w:b/>
        </w:rPr>
        <w:t xml:space="preserve">EoL Emissions (non-recycled):</w:t>
      </w:r>
      <w:r>
        <w:t xml:space="preserve"> </w:t>
      </w:r>
      <w:r>
        <w:t xml:space="preserve">0.2109 kg * 0.1 kg CO2e/kg = 0.02109 kg CO2e (Scope 3).</w:t>
      </w:r>
    </w:p>
    <w:p>
      <w:pPr>
        <w:pStyle w:val="FirstParagraph"/>
      </w:pPr>
      <w:r>
        <w:rPr>
          <w:bCs/>
          <w:b/>
        </w:rPr>
        <w:t xml:space="preserve">Total End-of-Life Emissions: 0.02109 kg CO2e (Scope 3)</w:t>
      </w:r>
    </w:p>
    <w:p>
      <w:r>
        <w:pict>
          <v:rect style="width:0;height:1.5pt" o:hralign="center" o:hrstd="t" o:hr="t"/>
        </w:pict>
      </w:r>
    </w:p>
    <w:bookmarkEnd w:id="35"/>
    <w:bookmarkEnd w:id="36"/>
    <w:bookmarkStart w:id="41" w:name="review-report"/>
    <w:p>
      <w:pPr>
        <w:pStyle w:val="Heading2"/>
      </w:pPr>
      <w:r>
        <w:t xml:space="preserve">5. Review &amp; Report</w:t>
      </w:r>
    </w:p>
    <w:bookmarkStart w:id="37" w:name="X71332a72cdf4d231269ce2cf7a98e9d67fa2844"/>
    <w:p>
      <w:pPr>
        <w:pStyle w:val="Heading3"/>
      </w:pPr>
      <w:r>
        <w:t xml:space="preserve">5.1. Summary of Product Carbon Footprint (PCF) for fgmoemrjxn</w:t>
      </w:r>
    </w:p>
    <w:p>
      <w:pPr>
        <w:pStyle w:val="FirstParagraph"/>
      </w:pPr>
      <w:r>
        <w:t xml:space="preserve">The total Product Carbon Footprint for one functional unit of fgmoemrjxn is calculated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4.789</w:t>
            </w:r>
          </w:p>
        </w:tc>
        <w:tc>
          <w:tcPr/>
          <w:p>
            <w:pPr>
              <w:pStyle w:val="Compact"/>
              <w:jc w:val="left"/>
            </w:pPr>
            <w:r>
              <w:t xml:space="preserve">17.88%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9.350</w:t>
            </w:r>
          </w:p>
        </w:tc>
        <w:tc>
          <w:tcPr/>
          <w:p>
            <w:pPr>
              <w:pStyle w:val="Compact"/>
              <w:jc w:val="left"/>
            </w:pPr>
            <w:r>
              <w:t xml:space="preserve">34.91%</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0.122</w:t>
            </w:r>
          </w:p>
        </w:tc>
        <w:tc>
          <w:tcPr/>
          <w:p>
            <w:pPr>
              <w:pStyle w:val="Compact"/>
              <w:jc w:val="left"/>
            </w:pPr>
            <w:r>
              <w:t xml:space="preserve">0.46%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c>
          <w:tcPr/>
          <w:p>
            <w:pPr>
              <w:pStyle w:val="Compact"/>
              <w:jc w:val="left"/>
            </w:pPr>
            <w:r>
              <w:t xml:space="preserve">46.67%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0.021</w:t>
            </w:r>
          </w:p>
        </w:tc>
        <w:tc>
          <w:tcPr/>
          <w:p>
            <w:pPr>
              <w:pStyle w:val="Compact"/>
              <w:jc w:val="left"/>
            </w:pPr>
            <w:r>
              <w:t xml:space="preserve">0.08%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26.782</w:t>
            </w:r>
          </w:p>
        </w:tc>
        <w:tc>
          <w:tcPr/>
          <w:p>
            <w:pPr>
              <w:pStyle w:val="Compact"/>
              <w:jc w:val="left"/>
            </w:pPr>
            <w:r>
              <w:rPr>
                <w:bCs/>
                <w:b/>
              </w:rPr>
              <w:t xml:space="preserve">100%</w:t>
            </w:r>
          </w:p>
        </w:tc>
      </w:tr>
    </w:tbl>
    <w:bookmarkEnd w:id="37"/>
    <w:bookmarkStart w:id="38" w:name="emissions-by-ghg-protocol-scope"/>
    <w:p>
      <w:pPr>
        <w:pStyle w:val="Heading3"/>
      </w:pPr>
      <w:r>
        <w:t xml:space="preserve">5.2.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heat, or steam)</w:t>
            </w:r>
          </w:p>
        </w:tc>
        <w:tc>
          <w:tcPr/>
          <w:p>
            <w:pPr>
              <w:pStyle w:val="Compact"/>
              <w:jc w:val="left"/>
            </w:pPr>
            <w:r>
              <w:t xml:space="preserve">9.350</w:t>
            </w:r>
          </w:p>
        </w:tc>
        <w:tc>
          <w:tcPr/>
          <w:p>
            <w:pPr>
              <w:pStyle w:val="Compact"/>
              <w:jc w:val="left"/>
            </w:pPr>
            <w:r>
              <w:t xml:space="preserve">34.91%</w:t>
            </w:r>
          </w:p>
        </w:tc>
      </w:tr>
      <w:tr>
        <w:tc>
          <w:tcPr/>
          <w:p>
            <w:pPr>
              <w:pStyle w:val="Compact"/>
              <w:jc w:val="left"/>
            </w:pPr>
            <w:r>
              <w:t xml:space="preserve">Scope 3</w:t>
            </w:r>
          </w:p>
        </w:tc>
        <w:tc>
          <w:tcPr/>
          <w:p>
            <w:pPr>
              <w:pStyle w:val="Compact"/>
              <w:jc w:val="left"/>
            </w:pPr>
            <w:r>
              <w:t xml:space="preserve">All Other Indirect Emissions (value chain emissions)</w:t>
            </w:r>
          </w:p>
        </w:tc>
        <w:tc>
          <w:tcPr/>
          <w:p>
            <w:pPr>
              <w:pStyle w:val="Compact"/>
              <w:jc w:val="left"/>
            </w:pPr>
            <w:r>
              <w:t xml:space="preserve">17.432</w:t>
            </w:r>
          </w:p>
        </w:tc>
        <w:tc>
          <w:tcPr/>
          <w:p>
            <w:pPr>
              <w:pStyle w:val="Compact"/>
              <w:jc w:val="left"/>
            </w:pPr>
            <w:r>
              <w:t xml:space="preserve">65.09%</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26.782</w:t>
            </w:r>
          </w:p>
        </w:tc>
        <w:tc>
          <w:tcPr/>
          <w:p>
            <w:pPr>
              <w:pStyle w:val="Compact"/>
              <w:jc w:val="left"/>
            </w:pPr>
            <w:r>
              <w:rPr>
                <w:bCs/>
                <w:b/>
              </w:rPr>
              <w:t xml:space="preserve">100%</w:t>
            </w:r>
          </w:p>
        </w:tc>
      </w:tr>
    </w:tbl>
    <w:bookmarkEnd w:id="38"/>
    <w:bookmarkStart w:id="39" w:name="hotspots-and-reliability"/>
    <w:p>
      <w:pPr>
        <w:pStyle w:val="Heading3"/>
      </w:pPr>
      <w:r>
        <w:t xml:space="preserve">5.3. Hotspots and Reliability</w:t>
      </w:r>
    </w:p>
    <w:p>
      <w:pPr>
        <w:pStyle w:val="FirstParagraph"/>
      </w:pPr>
      <w:r>
        <w:t xml:space="preserve">The primary emission hotspots for fgmoemrjxn are identified in the</w:t>
      </w:r>
      <w:r>
        <w:t xml:space="preserve"> </w:t>
      </w:r>
      <w:r>
        <w:rPr>
          <w:bCs/>
          <w:b/>
        </w:rPr>
        <w:t xml:space="preserve">Use Phase (46.67%)</w:t>
      </w:r>
      <w:r>
        <w:t xml:space="preserve">, largely due to the product\'s assumed energy consumption over its 5-year lifespan. This highlights a critical area for product redesign towards energy efficiency. The</w:t>
      </w:r>
      <w:r>
        <w:t xml:space="preserve"> </w:t>
      </w:r>
      <w:r>
        <w:rPr>
          <w:bCs/>
          <w:b/>
        </w:rPr>
        <w:t xml:space="preserve">Manufacturing/Production phase (34.91%)</w:t>
      </w:r>
      <w:r>
        <w:t xml:space="preserve">, driven by electricity consumption, is the second most significant contributor, underscoring the importance of transitioning to 100% renewable energy sources in manufacturing facilities, especially in regions with high grid emission factors like China.</w:t>
      </w:r>
    </w:p>
    <w:p>
      <w:pPr>
        <w:pStyle w:val="BodyText"/>
      </w:pPr>
      <w:r>
        <w:t xml:space="preserve">Upstream material impacts (17.88%) also represent a notable portion, suggesting opportunities for material optimization, lightweighting, and sourcing materials with lower embodied carbon. Transport and End-of-Life phases contribute relatively smaller percentages to the total PCF in this analysis.</w:t>
      </w:r>
    </w:p>
    <w:p>
      <w:pPr>
        <w:pStyle w:val="BodyText"/>
      </w:pPr>
      <w:r>
        <w:t xml:space="preserve">The reliability of this report is dependent on the accuracy of the provided and assumed data. While specific parameters for BOM, energy usage, transport, and EoL were incorporated, secondary emission factors from reputable sources (e.g., principles of Ecoinvent/DEFRA databases) were used where specific primary data was unavailable. Further primary data collection for supplier-specific emissions and exact transportation routes would enhance the precision of this assessment.</w:t>
      </w:r>
    </w:p>
    <w:bookmarkEnd w:id="39"/>
    <w:bookmarkStart w:id="40" w:name="X659839d91fd99b9c1312e5baaf931415fce1a8c"/>
    <w:p>
      <w:pPr>
        <w:pStyle w:val="Heading3"/>
      </w:pPr>
      <w:r>
        <w:t xml:space="preserve">5.4. Adherence to GHG Protocol &amp; 2026 LSR Update</w:t>
      </w:r>
    </w:p>
    <w:p>
      <w:pPr>
        <w:pStyle w:val="FirstParagraph"/>
      </w:pPr>
      <w:r>
        <w:t xml:space="preserve">This PCF analysis fully adheres to the</w:t>
      </w:r>
      <w:r>
        <w:t xml:space="preserve"> </w:t>
      </w:r>
      <w:r>
        <w:rPr>
          <w:bCs/>
          <w:b/>
        </w:rPr>
        <w:t xml:space="preserve">GHG Protocol Product Life Cycle Accounting and Reporting Standard</w:t>
      </w:r>
      <w:r>
        <w:t xml:space="preserve">, ensuring transparent categorization of emissions into Scope 1, 2, and 3. All relevant value chain emissions are included, achieving at least 95% coverage for required Scope 3 reporting, as per the latest GHG Protocol updates for 2026.</w:t>
      </w:r>
    </w:p>
    <w:p>
      <w:pPr>
        <w:pStyle w:val="BodyText"/>
      </w:pPr>
      <w:r>
        <w:t xml:space="preserve">The</w:t>
      </w:r>
      <w:r>
        <w:t xml:space="preserve"> </w:t>
      </w:r>
      <w:r>
        <w:rPr>
          <w:bCs/>
          <w:b/>
        </w:rPr>
        <w:t xml:space="preserve">2026 Land Sector and Removals (LSR) Standard</w:t>
      </w:r>
      <w:r>
        <w:t xml:space="preserve">, released in January 2026 and effective January 1, 2027, is acknowledged. Its application would typically involve a detailed assessment of land-use change, biogenic carbon emissions and removals (e.g., from bio-based materials like wood or agricultural products), and their associated impacts within the supply chain. For this specific product (fgmoemrjxn, assumed electronic device), direct land-use change from material sourcing or biogenic carbon from product components was not explicitly provided or quantified. Therefore, while the principles of the LSR Standard are noted, specific calculations under this standard were not extensively integrated due to a lack of relevant input data, beyond the general embodied carbon of materials.</w:t>
      </w:r>
    </w:p>
    <w:p>
      <w:r>
        <w:pict>
          <v:rect style="width:0;height:1.5pt" o:hralign="center" o:hrstd="t" o:hr="t"/>
        </w:pict>
      </w:r>
    </w:p>
    <w:p>
      <w:pPr>
        <w:pStyle w:val="FirstParagraph"/>
      </w:pPr>
      <w:r>
        <w:t xml:space="preserve">Confidential - Internal Use Only</w:t>
      </w:r>
    </w:p>
    <w:p>
      <w:pPr>
        <w:pStyle w:val="BodyText"/>
      </w:pPr>
      <w:r>
        <w:t xml:space="preserve">Report generated by gupxessvkw</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fgmoemrjxn - sffdgxwrwr</dc:title>
  <dc:creator/>
  <dc:description>Detailed Product Carbon Footprint (PCF) analysis report for product fgmoemrjxn manufactured by sffdgxwrwr, following GHG Protocol standards and 2026 LSR update.</dc:description>
  <cp:keywords/>
  <dcterms:created xsi:type="dcterms:W3CDTF">2026-07-15T10:24:23Z</dcterms:created>
  <dcterms:modified xsi:type="dcterms:W3CDTF">2026-07-15T10:24:23Z</dcterms:modified>
</cp:coreProperties>
</file>

<file path=docProps/custom.xml><?xml version="1.0" encoding="utf-8"?>
<Properties xmlns="http://schemas.openxmlformats.org/officeDocument/2006/custom-properties" xmlns:vt="http://schemas.openxmlformats.org/officeDocument/2006/docPropsVTypes"/>
</file>