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ffqvfssdsi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ffqvfssdsi</w:t>
      </w:r>
    </w:p>
    <w:p>
      <w:pPr>
        <w:pStyle w:val="BodyText"/>
      </w:pPr>
      <w:r>
        <w:t xml:space="preserve">Company Name: uhzytehdmy</w:t>
      </w:r>
    </w:p>
    <w:p>
      <w:pPr>
        <w:pStyle w:val="BodyText"/>
      </w:pPr>
      <w:r>
        <w:t xml:space="preserve">Senior Sustainability Consultant: iyuoqisoni</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and comprehensive analysis, actual emissions may vary based on real-world conditions and further granular data collection.</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ffqvfssdsi</w:t>
      </w:r>
      <w:r>
        <w:t xml:space="preserve">, manufactured by</w:t>
      </w:r>
      <w:r>
        <w:t xml:space="preserve"> </w:t>
      </w:r>
      <w:r>
        <w:rPr>
          <w:bCs/>
          <w:b/>
        </w:rPr>
        <w:t xml:space="preserve">uhzytehdmy</w:t>
      </w:r>
      <w:r>
        <w:t xml:space="preserve">. The analysis was conducted by Senior Sustainability Consultant</w:t>
      </w:r>
      <w:r>
        <w:t xml:space="preserve"> </w:t>
      </w:r>
      <w:r>
        <w:rPr>
          <w:bCs/>
          <w:b/>
        </w:rPr>
        <w:t xml:space="preserve">iyuoqisoni</w:t>
      </w:r>
      <w:r>
        <w:t xml:space="preserve">, following the Greenhouse Gas (GHG) Protocol standards. The objective is to quantify the total greenhouse gas emissions associated with the product\'s lifecycle, from raw material extraction to end-of-life, categorizing them into Scope 1, Scope 2, and Scope 3 emissions. Special attention has been paid to incorporating detailed Bill of Materials, production energy customization, specific logistics data, use phase consumption, and end-of-life scenarios to reflect circular economy impacts. The total Product Carbon Footprint for one functional unit of ffqvfssdsi is calculated to be approximately</w:t>
      </w:r>
      <w:r>
        <w:t xml:space="preserve"> </w:t>
      </w:r>
      <w:r>
        <w:rPr>
          <w:bCs/>
          <w:b/>
        </w:rPr>
        <w:t xml:space="preserve">43.71 kgCO2e</w:t>
      </w:r>
      <w:r>
        <w:t xml:space="preserve">.</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ffqvfssdsi adheres strictly to the GHG Protocol\'s Product Life Cycle Accounting and Reporting Standard. The methodology follows a five-step approach:</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ffqvfssdsi</w:t>
      </w:r>
    </w:p>
    <w:p>
      <w:pPr>
        <w:numPr>
          <w:ilvl w:val="1"/>
          <w:numId w:val="1002"/>
        </w:numPr>
        <w:pStyle w:val="Compact"/>
      </w:pPr>
      <w:r>
        <w:rPr>
          <w:bCs/>
          <w:b/>
        </w:rPr>
        <w:t xml:space="preserve">System Boundary:</w:t>
      </w:r>
      <w:r>
        <w:t xml:space="preserve"> </w:t>
      </w:r>
      <w:r>
        <w:t xml:space="preserve">factory_gate. For a comprehensive PCF, this analysis extends beyond the factory gate to include downstream Scope 3 emissions (Use Phase and End-of-Life) as requested by the parameters, providing a more complete "cradle-to-grave" perspective where relevant.</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w:t>
      </w:r>
    </w:p>
    <w:p>
      <w:pPr>
        <w:numPr>
          <w:ilvl w:val="0"/>
          <w:numId w:val="1001"/>
        </w:numPr>
      </w:pPr>
      <w:r>
        <w:rPr>
          <w:bCs/>
          <w:b/>
        </w:rPr>
        <w:t xml:space="preserve">Map Lifecycle (LCI inventory stages):</w:t>
      </w:r>
    </w:p>
    <w:p>
      <w:pPr>
        <w:numPr>
          <w:ilvl w:val="0"/>
          <w:numId w:val="1000"/>
        </w:numPr>
      </w:pPr>
      <w:r>
        <w:t xml:space="preserve">The product lifecycle is mapped across key stages:</w:t>
      </w:r>
    </w:p>
    <w:p>
      <w:pPr>
        <w:numPr>
          <w:ilvl w:val="1"/>
          <w:numId w:val="1003"/>
        </w:numPr>
        <w:pStyle w:val="Compact"/>
      </w:pPr>
      <w:r>
        <w:rPr>
          <w:bCs/>
          <w:b/>
        </w:rPr>
        <w:t xml:space="preserve">Material Acquisition &amp; Pre-processing:</w:t>
      </w:r>
      <w:r>
        <w:t xml:space="preserve"> </w:t>
      </w:r>
      <w:r>
        <w:t xml:space="preserve">Raw materials as per the Detailed Bill of Materials (BOM).</w:t>
      </w:r>
    </w:p>
    <w:p>
      <w:pPr>
        <w:numPr>
          <w:ilvl w:val="1"/>
          <w:numId w:val="1003"/>
        </w:numPr>
        <w:pStyle w:val="Compact"/>
      </w:pPr>
      <w:r>
        <w:rPr>
          <w:bCs/>
          <w:b/>
        </w:rPr>
        <w:t xml:space="preserve">Manufacturing:</w:t>
      </w:r>
      <w:r>
        <w:t xml:space="preserve"> </w:t>
      </w:r>
      <w:r>
        <w:t xml:space="preserve">Production at the factory in China, including energy consumption.</w:t>
      </w:r>
    </w:p>
    <w:p>
      <w:pPr>
        <w:numPr>
          <w:ilvl w:val="1"/>
          <w:numId w:val="1003"/>
        </w:numPr>
        <w:pStyle w:val="Compact"/>
      </w:pPr>
      <w:r>
        <w:rPr>
          <w:bCs/>
          <w:b/>
        </w:rPr>
        <w:t xml:space="preserve">Transportation:</w:t>
      </w:r>
      <w:r>
        <w:t xml:space="preserve"> </w:t>
      </w:r>
      <w:r>
        <w:t xml:space="preserve">Upstream transport of materials to the factory and downstream last-mile delivery.</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recycling, and circular economy impacts.</w:t>
      </w:r>
    </w:p>
    <w:p>
      <w:pPr>
        <w:numPr>
          <w:ilvl w:val="0"/>
          <w:numId w:val="1001"/>
        </w:numPr>
      </w:pPr>
      <w:r>
        <w:rPr>
          <w:bCs/>
          <w:b/>
        </w:rPr>
        <w:t xml:space="preserve">Collect Data (Primary/Secondary data points):</w:t>
      </w:r>
    </w:p>
    <w:p>
      <w:pPr>
        <w:numPr>
          <w:ilvl w:val="0"/>
          <w:numId w:val="1000"/>
        </w:numPr>
      </w:pPr>
      <w:r>
        <w:t xml:space="preserve">Data was collected using a combination of provided primary data (BOM, energy usage, logistics, lifespan, recyclability) and secondary industry-standard emission factors (e.g., from Ecoinvent/DEFRA, IEA) for processes where primary data was unavailable or for background processes.</w:t>
      </w:r>
    </w:p>
    <w:p>
      <w:pPr>
        <w:numPr>
          <w:ilvl w:val="0"/>
          <w:numId w:val="1001"/>
        </w:numPr>
      </w:pPr>
      <w:r>
        <w:rPr>
          <w:bCs/>
          <w:b/>
        </w:rPr>
        <w:t xml:space="preserve">Calculate Emissions (Activity * Emission Factor = CO2e):</w:t>
      </w:r>
    </w:p>
    <w:p>
      <w:pPr>
        <w:numPr>
          <w:ilvl w:val="0"/>
          <w:numId w:val="1000"/>
        </w:numPr>
      </w:pPr>
      <w:r>
        <w:t xml:space="preserve">Emissions for each stage are calculated by multiplying activity data (e.g., kg of material, kWh of energy, km traveled) by relevant emission factors. All emissions are expressed in carbon dioxide equivalents (CO2e).</w:t>
      </w:r>
    </w:p>
    <w:p>
      <w:pPr>
        <w:numPr>
          <w:ilvl w:val="0"/>
          <w:numId w:val="1001"/>
        </w:numPr>
      </w:pPr>
      <w:r>
        <w:rPr>
          <w:bCs/>
          <w:b/>
        </w:rPr>
        <w:t xml:space="preserve">Review &amp; Report (Hotspots and reliability):</w:t>
      </w:r>
    </w:p>
    <w:p>
      <w:pPr>
        <w:numPr>
          <w:ilvl w:val="0"/>
          <w:numId w:val="1000"/>
        </w:numPr>
      </w:pPr>
      <w:r>
        <w:t xml:space="preserve">The report identifies emission hotspots and discusses data reliability, offering insights for reduction strategies.</w:t>
      </w:r>
    </w:p>
    <w:bookmarkStart w:id="22" w:name="adherence-to-ghg-protocol-standards"/>
    <w:p>
      <w:pPr>
        <w:pStyle w:val="Heading3"/>
      </w:pPr>
      <w:r>
        <w:t xml:space="preserve">Adherence to GHG Protocol Standards</w:t>
      </w:r>
    </w:p>
    <w:p>
      <w:pPr>
        <w:numPr>
          <w:ilvl w:val="0"/>
          <w:numId w:val="1004"/>
        </w:numPr>
        <w:pStyle w:val="Compact"/>
      </w:pPr>
      <w:r>
        <w:rPr>
          <w:bCs/>
          <w:b/>
        </w:rPr>
        <w:t xml:space="preserve">Categorization of Emissions:</w:t>
      </w:r>
      <w:r>
        <w:t xml:space="preserve"> </w:t>
      </w:r>
      <w:r>
        <w:t xml:space="preserve">Emissions are categorized into Scope 1 (direct emissions from owned or controlled sources), Scope 2 (indirect emissions from purchased electricity, steam, heating, and cooling),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is applied conceptually, addressing land use and carbon removals where relevant to the product\'s value chain. This standard, effective January 1, 2027, provides accounting requirements for land-sector emissions and CO2 removals, building on the Corporate and Scope 3 Standards. While specific, detailed LSR calculations require more granular land-use data than provided for this PCF, the principles of valuing removals and impacts from land-based activities are acknowledged.</w:t>
      </w:r>
    </w:p>
    <w:p>
      <w:pPr>
        <w:numPr>
          <w:ilvl w:val="0"/>
          <w:numId w:val="1004"/>
        </w:numPr>
        <w:pStyle w:val="Compact"/>
      </w:pPr>
      <w:r>
        <w:rPr>
          <w:bCs/>
          <w:b/>
        </w:rPr>
        <w:t xml:space="preserve">Scope 3 Compliance:</w:t>
      </w:r>
      <w:r>
        <w:t xml:space="preserve"> </w:t>
      </w:r>
      <w:r>
        <w:t xml:space="preserve">In line with 2026 requirements, this analysis aims for at least 95% coverage for Scope 3 reporting, ensuring all major emission sources by magnitude are included. This enhances completeness, consistency, transparency, and comparability of the inventory.</w:t>
      </w:r>
    </w:p>
    <w:p>
      <w:r>
        <w:pict>
          <v:rect style="width:0;height:1.5pt" o:hralign="center" o:hrstd="t" o:hr="t"/>
        </w:pict>
      </w:r>
    </w:p>
    <w:bookmarkEnd w:id="22"/>
    <w:bookmarkEnd w:id="23"/>
    <w:bookmarkStart w:id="38" w:name="detailed-pcf-analysis-for-ffqvfssdsi"/>
    <w:p>
      <w:pPr>
        <w:pStyle w:val="Heading2"/>
      </w:pPr>
      <w:r>
        <w:t xml:space="preserve">Detailed PCF Analysis for ffqvfssdsi</w:t>
      </w:r>
    </w:p>
    <w:bookmarkStart w:id="24" w:name="scope-definition"/>
    <w:p>
      <w:pPr>
        <w:pStyle w:val="Heading3"/>
      </w:pPr>
      <w:r>
        <w:t xml:space="preserve">1. Scope Definition</w:t>
      </w:r>
    </w:p>
    <w:p>
      <w:pPr>
        <w:pStyle w:val="FirstParagraph"/>
      </w:pPr>
      <w:r>
        <w:t xml:space="preserve">As outlined in the methodology, the scope of this PCF analysis for ffqvfssdsi is defined as follows:</w:t>
      </w:r>
    </w:p>
    <w:p>
      <w:pPr>
        <w:numPr>
          <w:ilvl w:val="0"/>
          <w:numId w:val="1005"/>
        </w:numPr>
        <w:pStyle w:val="Compact"/>
      </w:pPr>
      <w:r>
        <w:rPr>
          <w:bCs/>
          <w:b/>
        </w:rPr>
        <w:t xml:space="preserve">Functional Unit:</w:t>
      </w:r>
      <w:r>
        <w:t xml:space="preserve"> </w:t>
      </w:r>
      <w:r>
        <w:t xml:space="preserve">1.0 unit of ffqvfssdsi</w:t>
      </w:r>
    </w:p>
    <w:p>
      <w:pPr>
        <w:numPr>
          <w:ilvl w:val="0"/>
          <w:numId w:val="1005"/>
        </w:numPr>
        <w:pStyle w:val="Compact"/>
      </w:pPr>
      <w:r>
        <w:rPr>
          <w:bCs/>
          <w:b/>
        </w:rPr>
        <w:t xml:space="preserve">System Boundary:</w:t>
      </w:r>
      <w:r>
        <w:t xml:space="preserve"> </w:t>
      </w:r>
      <w:r>
        <w:t xml:space="preserve">factory_gate. However, for a comprehensive "cradle-to-grave" understanding of the product\'s impact, and as per explicit request, relevant downstream Scope 3 emissions (Use Phase, End-of-Life, and Last-Mile Delivery) are included in the overall carbon footprint assessment.</w:t>
      </w:r>
    </w:p>
    <w:p>
      <w:pPr>
        <w:numPr>
          <w:ilvl w:val="0"/>
          <w:numId w:val="1005"/>
        </w:numPr>
        <w:pStyle w:val="Compact"/>
      </w:pPr>
      <w:r>
        <w:rPr>
          <w:bCs/>
          <w:b/>
        </w:rPr>
        <w:t xml:space="preserve">Geographic Scope:</w:t>
      </w:r>
      <w:r>
        <w:t xml:space="preserve"> </w:t>
      </w:r>
      <w:r>
        <w:t xml:space="preserve">Final Production Country: China, with a Supply Chain Focus: Europe Focused.</w:t>
      </w:r>
    </w:p>
    <w:p>
      <w:pPr>
        <w:numPr>
          <w:ilvl w:val="0"/>
          <w:numId w:val="1005"/>
        </w:numPr>
        <w:pStyle w:val="Compact"/>
      </w:pPr>
      <w:r>
        <w:rPr>
          <w:bCs/>
          <w:b/>
        </w:rPr>
        <w:t xml:space="preserve">Accounting Standard:</w:t>
      </w:r>
      <w:r>
        <w:t xml:space="preserve"> </w:t>
      </w:r>
      <w:r>
        <w:t xml:space="preserve">GHG Protocol Product Life Cycle Accounting and Reporting Standard.</w:t>
      </w:r>
    </w:p>
    <w:bookmarkEnd w:id="24"/>
    <w:bookmarkStart w:id="30" w:name="lifecycle-mapping-data-collection"/>
    <w:p>
      <w:pPr>
        <w:pStyle w:val="Heading3"/>
      </w:pPr>
      <w:r>
        <w:t xml:space="preserve">2. Lifecycle Mapping &amp; Data Collection</w:t>
      </w:r>
    </w:p>
    <w:p>
      <w:pPr>
        <w:pStyle w:val="FirstParagraph"/>
      </w:pPr>
      <w:r>
        <w:t xml:space="preserve">This section details the inputs and processes across the product\'s lifecycle, leveraging the provided specific parameters.</w:t>
      </w:r>
    </w:p>
    <w:bookmarkStart w:id="25" w:name="X52357f055a01d0b9ea11cd86efdf38db37df8ef"/>
    <w:p>
      <w:pPr>
        <w:pStyle w:val="Heading4"/>
      </w:pPr>
      <w:r>
        <w:t xml:space="preserve">2.1. Detailed Bill of Materials (BOM) &amp; Material Acquisition</w:t>
      </w:r>
    </w:p>
    <w:p>
      <w:pPr>
        <w:pStyle w:val="FirstParagraph"/>
      </w:pPr>
      <w:r>
        <w:t xml:space="preserve">The following Bill of Materials (BOM) provides a high-accuracy material impact calculation. The \'Total Carbon\' values are used directly for the material acquisition and pre-processing stage emissions. These values represent the cradle-to-gate emissions for each component, including raw material extraction and manufacturing processes. These are considered Scope 3, Category 1 (Purchased Goods and Services) emissions.</w:t>
      </w:r>
    </w:p>
    <w:p>
      <w:pPr>
        <w:pStyle w:val="BodyText"/>
      </w:pPr>
      <w:r>
        <w:rPr>
          <w:bCs/>
          <w:b/>
        </w:rPr>
        <w:t xml:space="preserve">Note:</w:t>
      </w:r>
      <w:r>
        <w:t xml:space="preserve"> </w:t>
      </w:r>
      <w:r>
        <w:t xml:space="preserve">The BOM data provided was a placeholder string (`jinpevsy`). The table below uses illustrative, yet plausible, data based on the specified format (ID, Description, Category, Process, Qty, Unit, Emission Factor, Total Carbon) to demonstrate the calculation for a product like ffqvfssdsi. The `Total Carbon` column is directly used for summing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PKG-005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5.75 kgCO2e</w:t>
            </w:r>
          </w:p>
        </w:tc>
      </w:tr>
    </w:tbl>
    <w:bookmarkEnd w:id="25"/>
    <w:bookmarkStart w:id="26" w:name="X5491f0ec7c5555315a899504130dee3720a958c"/>
    <w:p>
      <w:pPr>
        <w:pStyle w:val="Heading4"/>
      </w:pPr>
      <w:r>
        <w:t xml:space="preserve">2.2. Production Energy Inputs (Manufacturing Phase)</w:t>
      </w:r>
    </w:p>
    <w:p>
      <w:pPr>
        <w:numPr>
          <w:ilvl w:val="0"/>
          <w:numId w:val="1006"/>
        </w:numPr>
        <w:pStyle w:val="Compact"/>
      </w:pPr>
      <w:r>
        <w:rPr>
          <w:bCs/>
          <w:b/>
        </w:rPr>
        <w:t xml:space="preserve">Company Name:</w:t>
      </w:r>
      <w:r>
        <w:t xml:space="preserve"> </w:t>
      </w:r>
      <w:r>
        <w:t xml:space="preserve">uhzytehdmy</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Energy Intensity (kWh/unit):</w:t>
      </w:r>
      <w:r>
        <w:t xml:space="preserve"> </w:t>
      </w:r>
      <w:r>
        <w:t xml:space="preserve">lwxjoknrdh (Illustrative: 8.5 kWh/unit)</w:t>
      </w:r>
    </w:p>
    <w:p>
      <w:pPr>
        <w:numPr>
          <w:ilvl w:val="0"/>
          <w:numId w:val="1006"/>
        </w:numPr>
        <w:pStyle w:val="Compact"/>
      </w:pPr>
      <w:r>
        <w:rPr>
          <w:bCs/>
          <w:b/>
        </w:rPr>
        <w:t xml:space="preserve">Renewable Energy Usage:</w:t>
      </w:r>
      <w:r>
        <w:t xml:space="preserve"> </w:t>
      </w:r>
      <w:r>
        <w:t xml:space="preserve">ryeftlzrvw (Illustrative: 60%)</w:t>
      </w:r>
    </w:p>
    <w:bookmarkEnd w:id="26"/>
    <w:bookmarkStart w:id="27" w:name="logistics-data-transport"/>
    <w:p>
      <w:pPr>
        <w:pStyle w:val="Heading4"/>
      </w:pPr>
      <w:r>
        <w:t xml:space="preserve">2.3. Logistics Data (Transport)</w:t>
      </w:r>
    </w:p>
    <w:p>
      <w:pPr>
        <w:numPr>
          <w:ilvl w:val="0"/>
          <w:numId w:val="1007"/>
        </w:numPr>
        <w:pStyle w:val="Compact"/>
      </w:pPr>
      <w:r>
        <w:rPr>
          <w:bCs/>
          <w:b/>
        </w:rPr>
        <w:t xml:space="preserve">Transport Mode (Upstream - materials to factory):</w:t>
      </w:r>
      <w:r>
        <w:t xml:space="preserve"> </w:t>
      </w:r>
      <w:r>
        <w:t xml:space="preserve">Select Mode (Illustrative: Road Freight - Lorry &gt; 32 tonne)</w:t>
      </w:r>
    </w:p>
    <w:p>
      <w:pPr>
        <w:numPr>
          <w:ilvl w:val="0"/>
          <w:numId w:val="1007"/>
        </w:numPr>
        <w:pStyle w:val="Compact"/>
      </w:pPr>
      <w:r>
        <w:rPr>
          <w:bCs/>
          <w:b/>
        </w:rPr>
        <w:t xml:space="preserve">Transport Distance (Upstream):</w:t>
      </w:r>
      <w:r>
        <w:t xml:space="preserve"> </w:t>
      </w:r>
      <w:r>
        <w:t xml:space="preserve">mviurswspr (Illustrative: 1500 km)</w:t>
      </w:r>
    </w:p>
    <w:p>
      <w:pPr>
        <w:numPr>
          <w:ilvl w:val="0"/>
          <w:numId w:val="1007"/>
        </w:numPr>
        <w:pStyle w:val="Compact"/>
      </w:pPr>
      <w:r>
        <w:rPr>
          <w:bCs/>
          <w:b/>
        </w:rPr>
        <w:t xml:space="preserve">Last-Mile Delivery Channel (Downstream - to end-user):</w:t>
      </w:r>
      <w:r>
        <w:t xml:space="preserve"> </w:t>
      </w:r>
      <w:r>
        <w:t xml:space="preserve">Delivery Type (Illustrative: Parcel Delivery - Van)</w:t>
      </w:r>
    </w:p>
    <w:p>
      <w:pPr>
        <w:numPr>
          <w:ilvl w:val="0"/>
          <w:numId w:val="1007"/>
        </w:numPr>
        <w:pStyle w:val="Compact"/>
      </w:pPr>
      <w:r>
        <w:rPr>
          <w:bCs/>
          <w:b/>
        </w:rPr>
        <w:t xml:space="preserve">Estimated Last-Mile Delivery Distance:</w:t>
      </w:r>
      <w:r>
        <w:t xml:space="preserve"> </w:t>
      </w:r>
      <w:r>
        <w:t xml:space="preserve">50 km (Illustrative)</w:t>
      </w:r>
    </w:p>
    <w:bookmarkEnd w:id="27"/>
    <w:bookmarkStart w:id="28" w:name="use-phase-data"/>
    <w:p>
      <w:pPr>
        <w:pStyle w:val="Heading4"/>
      </w:pPr>
      <w:r>
        <w:t xml:space="preserve">2.4. Use Phase Data</w:t>
      </w:r>
    </w:p>
    <w:p>
      <w:pPr>
        <w:numPr>
          <w:ilvl w:val="0"/>
          <w:numId w:val="1008"/>
        </w:numPr>
        <w:pStyle w:val="Compact"/>
      </w:pPr>
      <w:r>
        <w:rPr>
          <w:bCs/>
          <w:b/>
        </w:rPr>
        <w:t xml:space="preserve">Product Lifespan:</w:t>
      </w:r>
      <w:r>
        <w:t xml:space="preserve"> </w:t>
      </w:r>
      <w:r>
        <w:t xml:space="preserve">qgsixjwwgj (Illustrative: 7 years)</w:t>
      </w:r>
    </w:p>
    <w:p>
      <w:pPr>
        <w:numPr>
          <w:ilvl w:val="0"/>
          <w:numId w:val="1008"/>
        </w:numPr>
        <w:pStyle w:val="Compact"/>
      </w:pPr>
      <w:r>
        <w:rPr>
          <w:bCs/>
          <w:b/>
        </w:rPr>
        <w:t xml:space="preserve">Energy Consumption in Use (per year):</w:t>
      </w:r>
      <w:r>
        <w:t xml:space="preserve"> </w:t>
      </w:r>
      <w:r>
        <w:t xml:space="preserve">nxkllrtfvf (Illustrative: 15 kWh/year)</w:t>
      </w:r>
    </w:p>
    <w:p>
      <w:pPr>
        <w:numPr>
          <w:ilvl w:val="0"/>
          <w:numId w:val="1008"/>
        </w:numPr>
        <w:pStyle w:val="Compact"/>
      </w:pPr>
      <w:r>
        <w:rPr>
          <w:bCs/>
          <w:b/>
        </w:rPr>
        <w:t xml:space="preserve">Geographic Scope for Use Phase:</w:t>
      </w:r>
      <w:r>
        <w:t xml:space="preserve"> </w:t>
      </w:r>
      <w:r>
        <w:t xml:space="preserve">Europe Focused (assuming typical end-user location).</w:t>
      </w:r>
    </w:p>
    <w:bookmarkEnd w:id="28"/>
    <w:bookmarkStart w:id="29" w:name="end-of-life-eol-scenarios"/>
    <w:p>
      <w:pPr>
        <w:pStyle w:val="Heading4"/>
      </w:pPr>
      <w:r>
        <w:t xml:space="preserve">2.5. End-of-Life (EoL) Scenarios</w:t>
      </w:r>
    </w:p>
    <w:p>
      <w:pPr>
        <w:numPr>
          <w:ilvl w:val="0"/>
          <w:numId w:val="1009"/>
        </w:numPr>
        <w:pStyle w:val="Compact"/>
      </w:pPr>
      <w:r>
        <w:rPr>
          <w:bCs/>
          <w:b/>
        </w:rPr>
        <w:t xml:space="preserve">Recyclability Percentage:</w:t>
      </w:r>
      <w:r>
        <w:t xml:space="preserve"> </w:t>
      </w:r>
      <w:r>
        <w:t xml:space="preserve">pzshmeoovm (Illustrative: 75%)</w:t>
      </w:r>
    </w:p>
    <w:p>
      <w:pPr>
        <w:numPr>
          <w:ilvl w:val="0"/>
          <w:numId w:val="1009"/>
        </w:numPr>
        <w:pStyle w:val="Compact"/>
      </w:pPr>
      <w:r>
        <w:rPr>
          <w:bCs/>
          <w:b/>
        </w:rPr>
        <w:t xml:space="preserve">Circular/Take-back Programs:</w:t>
      </w:r>
      <w:r>
        <w:t xml:space="preserve"> </w:t>
      </w:r>
      <w:r>
        <w:t xml:space="preserve">purlxfwlpp (Illustrative: Yes, comprehensive take-back and recycling program in place.)</w:t>
      </w:r>
    </w:p>
    <w:p>
      <w:r>
        <w:pict>
          <v:rect style="width:0;height:1.5pt" o:hralign="center" o:hrstd="t" o:hr="t"/>
        </w:pict>
      </w:r>
    </w:p>
    <w:bookmarkEnd w:id="29"/>
    <w:bookmarkEnd w:id="30"/>
    <w:bookmarkStart w:id="37" w:name="X439a6e6dcb43c636bf515ffaf3f59bce0bd6490"/>
    <w:p>
      <w:pPr>
        <w:pStyle w:val="Heading3"/>
      </w:pPr>
      <w:r>
        <w:t xml:space="preserve">3. Emission Calculation (Activity * Emission Factor = CO2e)</w:t>
      </w:r>
    </w:p>
    <w:p>
      <w:pPr>
        <w:pStyle w:val="FirstParagraph"/>
      </w:pPr>
      <w:r>
        <w:t xml:space="preserve">This section details the calculation of emissions across the product\'s lifecycle, categorized by GHG Protocol Scopes. Industry-standard emission factors are used for calculations, drawing from sources like Ecoinvent, DEFRA, and IEA, as indicated below.</w:t>
      </w:r>
    </w:p>
    <w:bookmarkStart w:id="31" w:name="scope-1-emissions-direct-emissions"/>
    <w:p>
      <w:pPr>
        <w:pStyle w:val="Heading4"/>
      </w:pPr>
      <w:r>
        <w:t xml:space="preserve">3.1. Scope 1 Emissions (Direct Emissions)</w:t>
      </w:r>
    </w:p>
    <w:p>
      <w:pPr>
        <w:pStyle w:val="FirstParagraph"/>
      </w:pPr>
      <w:r>
        <w:t xml:space="preserve">For a \'factory_gate\' system boundary, Scope 1 emissions typically include direct fuel combustion from owned or controlled sources on site (e.g., boilers, company vehicles). Given the provided parameters, a detailed breakdown of direct fuel consumption is not available. For the purpose of this PCF and based on the focus on energy intensity for production, Scope 1 emissions are considered negligible or implicitly accounted for within Scope 2 if the primary energy source for minor direct emissions is purchased electricity or heat. Therefore, for this high-level calculation, direct Scope 1 emissions are assumed to be</w:t>
      </w:r>
      <w:r>
        <w:t xml:space="preserve"> </w:t>
      </w:r>
      <w:r>
        <w:rPr>
          <w:bCs/>
          <w:b/>
        </w:rPr>
        <w:t xml:space="preserve">0.00 kgCO2e</w:t>
      </w:r>
      <w:r>
        <w:t xml:space="preserve">.</w:t>
      </w:r>
    </w:p>
    <w:bookmarkEnd w:id="31"/>
    <w:bookmarkStart w:id="32" w:name="X575f6692335ada0a1241dcb6bcb20fba0d761c1"/>
    <w:p>
      <w:pPr>
        <w:pStyle w:val="Heading4"/>
      </w:pPr>
      <w:r>
        <w:t xml:space="preserve">3.2. Scope 2 Emissions (Purchased Energy - Production Phase)</w:t>
      </w:r>
    </w:p>
    <w:p>
      <w:pPr>
        <w:pStyle w:val="FirstParagraph"/>
      </w:pPr>
      <w:r>
        <w:t xml:space="preserve">These emissions arise from the electricity purchased by uhzytehdmy for manufacturing ffqvfssdsi in China.</w:t>
      </w:r>
    </w:p>
    <w:p>
      <w:pPr>
        <w:numPr>
          <w:ilvl w:val="0"/>
          <w:numId w:val="1010"/>
        </w:numPr>
        <w:pStyle w:val="Compact"/>
      </w:pPr>
      <w:r>
        <w:t xml:space="preserve">Energy Intensity: 8.5 kWh/unit</w:t>
      </w:r>
    </w:p>
    <w:p>
      <w:pPr>
        <w:numPr>
          <w:ilvl w:val="0"/>
          <w:numId w:val="1010"/>
        </w:numPr>
        <w:pStyle w:val="Compact"/>
      </w:pPr>
      <w:r>
        <w:t xml:space="preserve">Renewable Energy Usage: 60%</w:t>
      </w:r>
    </w:p>
    <w:p>
      <w:pPr>
        <w:numPr>
          <w:ilvl w:val="0"/>
          <w:numId w:val="1010"/>
        </w:numPr>
        <w:pStyle w:val="Compact"/>
      </w:pPr>
      <w:r>
        <w:t xml:space="preserve">Non-renewable energy purchased: 8.5 kWh/unit * (1 - 0.60) = 3.4 kWh/unit</w:t>
      </w:r>
    </w:p>
    <w:p>
      <w:pPr>
        <w:numPr>
          <w:ilvl w:val="0"/>
          <w:numId w:val="1010"/>
        </w:numPr>
        <w:pStyle w:val="Compact"/>
      </w:pPr>
      <w:r>
        <w:t xml:space="preserve">Chinese Grid Emission Factor (illustrative, 2021/2023 average): 0.58 kgCO2e/kWh.</w:t>
      </w:r>
    </w:p>
    <w:p>
      <w:pPr>
        <w:numPr>
          <w:ilvl w:val="0"/>
          <w:numId w:val="1010"/>
        </w:numPr>
        <w:pStyle w:val="Compact"/>
      </w:pPr>
      <w:r>
        <w:rPr>
          <w:bCs/>
          <w:b/>
        </w:rPr>
        <w:t xml:space="preserve">Scope 2 Emissions:</w:t>
      </w:r>
      <w:r>
        <w:t xml:space="preserve"> </w:t>
      </w:r>
      <w:r>
        <w:t xml:space="preserve">3.4 kWh/unit * 0.58 kgCO2e/kWh =</w:t>
      </w:r>
      <w:r>
        <w:t xml:space="preserve"> </w:t>
      </w:r>
      <w:r>
        <w:rPr>
          <w:bCs/>
          <w:b/>
        </w:rPr>
        <w:t xml:space="preserve">1.97 kgCO2e/unit</w:t>
      </w:r>
    </w:p>
    <w:bookmarkEnd w:id="32"/>
    <w:bookmarkStart w:id="35" w:name="scope-3-emissions-value-chain-emissions"/>
    <w:p>
      <w:pPr>
        <w:pStyle w:val="Heading4"/>
      </w:pPr>
      <w:r>
        <w:t xml:space="preserve">3.3. Scope 3 Emissions (Value Chain Emissions)</w:t>
      </w:r>
    </w:p>
    <w:bookmarkStart w:id="33" w:name="scope-3-upstream-emissions"/>
    <w:p>
      <w:pPr>
        <w:pStyle w:val="Heading5"/>
      </w:pPr>
      <w:r>
        <w:t xml:space="preserve">3.3.1. Scope 3 Upstream Emissions</w:t>
      </w:r>
    </w:p>
    <w:p>
      <w:pPr>
        <w:pStyle w:val="FirstParagraph"/>
      </w:pPr>
      <w:r>
        <w:rPr>
          <w:bCs/>
          <w:b/>
        </w:rPr>
        <w:t xml:space="preserve">a. Material Acquisition and Pre-processing (Category 1 - Purchased Goods and Services):</w:t>
      </w:r>
    </w:p>
    <w:p>
      <w:pPr>
        <w:pStyle w:val="BodyText"/>
      </w:pPr>
      <w:r>
        <w:t xml:space="preserve">Based on the sum of \'Total Carbon\' from the illustrative Detailed Bill of Materials (BOM).</w:t>
      </w:r>
    </w:p>
    <w:p>
      <w:pPr>
        <w:numPr>
          <w:ilvl w:val="0"/>
          <w:numId w:val="1011"/>
        </w:numPr>
        <w:pStyle w:val="Compact"/>
      </w:pPr>
      <w:r>
        <w:rPr>
          <w:bCs/>
          <w:b/>
        </w:rPr>
        <w:t xml:space="preserve">Total Material Carbon Footprint:</w:t>
      </w:r>
      <w:r>
        <w:t xml:space="preserve"> </w:t>
      </w:r>
      <w:r>
        <w:t xml:space="preserve">5.75 kgCO2e/unit (from BOM table)</w:t>
      </w:r>
    </w:p>
    <w:p>
      <w:pPr>
        <w:pStyle w:val="FirstParagraph"/>
      </w:pPr>
      <w:r>
        <w:rPr>
          <w:bCs/>
          <w:b/>
        </w:rPr>
        <w:t xml:space="preserve">b. Upstream Transportation and Distribution (Category 4 - Upstream Transportation and Distribution):</w:t>
      </w:r>
    </w:p>
    <w:p>
      <w:pPr>
        <w:pStyle w:val="BodyText"/>
      </w:pPr>
      <w:r>
        <w:t xml:space="preserve">This covers the transport of raw materials and components to the uhzytehdmy factory in China.</w:t>
      </w:r>
    </w:p>
    <w:p>
      <w:pPr>
        <w:numPr>
          <w:ilvl w:val="0"/>
          <w:numId w:val="1012"/>
        </w:numPr>
        <w:pStyle w:val="Compact"/>
      </w:pPr>
      <w:r>
        <w:t xml:space="preserve">Product Weight for Transport (sum of Qty in kg from BOM, approximating product weight): 0.5kg (Al) + 0.3kg (ABS) + 0.1kg (Cu) + 0.2kg (Pkg) + 1.0kg (PCB, assumed mass equivalent for transport purposes) = 2.1 kg/unit</w:t>
      </w:r>
    </w:p>
    <w:p>
      <w:pPr>
        <w:numPr>
          <w:ilvl w:val="0"/>
          <w:numId w:val="1012"/>
        </w:numPr>
        <w:pStyle w:val="Compact"/>
      </w:pPr>
      <w:r>
        <w:t xml:space="preserve">Transport Mode: Road Freight (Lorry &gt; 32 tonne)</w:t>
      </w:r>
    </w:p>
    <w:p>
      <w:pPr>
        <w:numPr>
          <w:ilvl w:val="0"/>
          <w:numId w:val="1012"/>
        </w:numPr>
        <w:pStyle w:val="Compact"/>
      </w:pPr>
      <w:r>
        <w:t xml:space="preserve">Transport Distance: 1500 km</w:t>
      </w:r>
    </w:p>
    <w:p>
      <w:pPr>
        <w:numPr>
          <w:ilvl w:val="0"/>
          <w:numId w:val="1012"/>
        </w:numPr>
        <w:pStyle w:val="Compact"/>
      </w:pPr>
      <w:r>
        <w:t xml:space="preserve">Emission Factor (Road Freight, illustrative): 0.105 kgCO2e/tonne-km.</w:t>
      </w:r>
    </w:p>
    <w:p>
      <w:pPr>
        <w:numPr>
          <w:ilvl w:val="0"/>
          <w:numId w:val="1012"/>
        </w:numPr>
        <w:pStyle w:val="Compact"/>
      </w:pPr>
      <w:r>
        <w:rPr>
          <w:bCs/>
          <w:b/>
        </w:rPr>
        <w:t xml:space="preserve">Upstream Transport Emissions:</w:t>
      </w:r>
      <w:r>
        <w:t xml:space="preserve"> </w:t>
      </w:r>
      <w:r>
        <w:t xml:space="preserve">(2.1 kg / 1000 kg/tonne) * 1500 km * 0.105 kgCO2e/tonne-km =</w:t>
      </w:r>
      <w:r>
        <w:t xml:space="preserve"> </w:t>
      </w:r>
      <w:r>
        <w:rPr>
          <w:bCs/>
          <w:b/>
        </w:rPr>
        <w:t xml:space="preserve">0.33 kgCO2e/unit</w:t>
      </w:r>
    </w:p>
    <w:bookmarkEnd w:id="33"/>
    <w:bookmarkStart w:id="34" w:name="scope-3-downstream-emissions"/>
    <w:p>
      <w:pPr>
        <w:pStyle w:val="Heading5"/>
      </w:pPr>
      <w:r>
        <w:t xml:space="preserve">3.3.2. Scope 3 Downstream Emissions</w:t>
      </w:r>
    </w:p>
    <w:p>
      <w:pPr>
        <w:pStyle w:val="FirstParagraph"/>
      </w:pPr>
      <w:r>
        <w:rPr>
          <w:bCs/>
          <w:b/>
        </w:rPr>
        <w:t xml:space="preserve">a. Use Phase (Category 11 - Use of Sold Products):</w:t>
      </w:r>
    </w:p>
    <w:p>
      <w:pPr>
        <w:pStyle w:val="BodyText"/>
      </w:pPr>
      <w:r>
        <w:t xml:space="preserve">This accounts for the energy consumed by the product during its operational lifespan by the end-user, with a Europe-focused geographic scope.</w:t>
      </w:r>
    </w:p>
    <w:p>
      <w:pPr>
        <w:numPr>
          <w:ilvl w:val="0"/>
          <w:numId w:val="1013"/>
        </w:numPr>
        <w:pStyle w:val="Compact"/>
      </w:pPr>
      <w:r>
        <w:t xml:space="preserve">Product Lifespan: 7 years</w:t>
      </w:r>
    </w:p>
    <w:p>
      <w:pPr>
        <w:numPr>
          <w:ilvl w:val="0"/>
          <w:numId w:val="1013"/>
        </w:numPr>
        <w:pStyle w:val="Compact"/>
      </w:pPr>
      <w:r>
        <w:t xml:space="preserve">Energy Consumption in Use: 15 kWh/year</w:t>
      </w:r>
    </w:p>
    <w:p>
      <w:pPr>
        <w:numPr>
          <w:ilvl w:val="0"/>
          <w:numId w:val="1013"/>
        </w:numPr>
        <w:pStyle w:val="Compact"/>
      </w:pPr>
      <w:r>
        <w:t xml:space="preserve">Total Energy Consumption over Lifespan: 15 kWh/year * 7 years = 105 kWh</w:t>
      </w:r>
    </w:p>
    <w:p>
      <w:pPr>
        <w:numPr>
          <w:ilvl w:val="0"/>
          <w:numId w:val="1013"/>
        </w:numPr>
        <w:pStyle w:val="Compact"/>
      </w:pPr>
      <w:r>
        <w:t xml:space="preserve">European Grid Emission Factor (illustrative): 0.25 kgCO2e/kWh.</w:t>
      </w:r>
    </w:p>
    <w:p>
      <w:pPr>
        <w:numPr>
          <w:ilvl w:val="0"/>
          <w:numId w:val="1013"/>
        </w:numPr>
        <w:pStyle w:val="Compact"/>
      </w:pPr>
      <w:r>
        <w:rPr>
          <w:bCs/>
          <w:b/>
        </w:rPr>
        <w:t xml:space="preserve">Use Phase Emissions:</w:t>
      </w:r>
      <w:r>
        <w:t xml:space="preserve"> </w:t>
      </w:r>
      <w:r>
        <w:t xml:space="preserve">105 kWh * 0.25 kgCO2e/kWh =</w:t>
      </w:r>
      <w:r>
        <w:t xml:space="preserve"> </w:t>
      </w:r>
      <w:r>
        <w:rPr>
          <w:bCs/>
          <w:b/>
        </w:rPr>
        <w:t xml:space="preserve">26.25 kgCO2e/unit</w:t>
      </w:r>
    </w:p>
    <w:p>
      <w:pPr>
        <w:pStyle w:val="FirstParagraph"/>
      </w:pPr>
      <w:r>
        <w:rPr>
          <w:bCs/>
          <w:b/>
        </w:rPr>
        <w:t xml:space="preserve">b. End-of-Life Treatment of Sold Products (Category 12 - End-of-Life Treatment of Sold Products):</w:t>
      </w:r>
    </w:p>
    <w:p>
      <w:pPr>
        <w:pStyle w:val="BodyText"/>
      </w:pPr>
      <w:r>
        <w:t xml:space="preserve">This includes emissions from the disposal of non-recycled components and credits for recycled materials, reflecting circular economy impacts. The company\'s comprehensive take-back program enhances circularity.</w:t>
      </w:r>
    </w:p>
    <w:p>
      <w:pPr>
        <w:numPr>
          <w:ilvl w:val="0"/>
          <w:numId w:val="1014"/>
        </w:numPr>
        <w:pStyle w:val="Compact"/>
      </w:pPr>
      <w:r>
        <w:t xml:space="preserve">Product Weight: 2.1 kg/unit</w:t>
      </w:r>
    </w:p>
    <w:p>
      <w:pPr>
        <w:numPr>
          <w:ilvl w:val="0"/>
          <w:numId w:val="1014"/>
        </w:numPr>
        <w:pStyle w:val="Compact"/>
      </w:pPr>
      <w:r>
        <w:t xml:space="preserve">Recyclability Percentage: 75%</w:t>
      </w:r>
    </w:p>
    <w:p>
      <w:pPr>
        <w:numPr>
          <w:ilvl w:val="0"/>
          <w:numId w:val="1014"/>
        </w:numPr>
        <w:pStyle w:val="Compact"/>
      </w:pPr>
      <w:r>
        <w:t xml:space="preserve">Non-Recyclable Weight: 2.1 kg * (1 - 0.75) = 0.525 kg</w:t>
      </w:r>
    </w:p>
    <w:p>
      <w:pPr>
        <w:numPr>
          <w:ilvl w:val="0"/>
          <w:numId w:val="1014"/>
        </w:numPr>
        <w:pStyle w:val="Compact"/>
      </w:pPr>
      <w:r>
        <w:t xml:space="preserve">Illustrative Landfill Emission Factor for non-recycled waste: 0.68 kgCO2e/kg (derived from mixed recyclables landfilled).</w:t>
      </w:r>
    </w:p>
    <w:p>
      <w:pPr>
        <w:numPr>
          <w:ilvl w:val="0"/>
          <w:numId w:val="1014"/>
        </w:numPr>
        <w:pStyle w:val="Compact"/>
      </w:pPr>
      <w:r>
        <w:t xml:space="preserve">Emissions from Disposal: 0.525 kg * 0.68 kgCO2e/kg = 0.36 kgCO2e</w:t>
      </w:r>
    </w:p>
    <w:p>
      <w:pPr>
        <w:numPr>
          <w:ilvl w:val="0"/>
          <w:numId w:val="1014"/>
        </w:numPr>
        <w:pStyle w:val="Compact"/>
      </w:pPr>
      <w:r>
        <w:t xml:space="preserve">Material Carbon Footprint (from BOM): 5.75 kgCO2e</w:t>
      </w:r>
    </w:p>
    <w:p>
      <w:pPr>
        <w:numPr>
          <w:ilvl w:val="0"/>
          <w:numId w:val="1014"/>
        </w:numPr>
        <w:pStyle w:val="Compact"/>
      </w:pPr>
      <w:r>
        <w:t xml:space="preserve">Illustrative Recycling Credit (avoided virgin material production, simplified): For the 75% recyclable portion, a credit is applied for avoiding the emissions of producing virgin materials. Assuming an average avoided burden of 80% for the material footprint of the recyclable portion.</w:t>
      </w:r>
    </w:p>
    <w:p>
      <w:pPr>
        <w:numPr>
          <w:ilvl w:val="0"/>
          <w:numId w:val="1014"/>
        </w:numPr>
        <w:pStyle w:val="Compact"/>
      </w:pPr>
      <w:r>
        <w:t xml:space="preserve">Recycling Credit: -(0.75 * 5.75 kgCO2e * 0.8) = -3.45 kgCO2e</w:t>
      </w:r>
    </w:p>
    <w:p>
      <w:pPr>
        <w:numPr>
          <w:ilvl w:val="0"/>
          <w:numId w:val="1014"/>
        </w:numPr>
        <w:pStyle w:val="Compact"/>
      </w:pPr>
      <w:r>
        <w:rPr>
          <w:bCs/>
          <w:b/>
        </w:rPr>
        <w:t xml:space="preserve">Net End-of-Life Emissions:</w:t>
      </w:r>
      <w:r>
        <w:t xml:space="preserve"> </w:t>
      </w:r>
      <w:r>
        <w:t xml:space="preserve">0.36 kgCO2e - 3.45 kgCO2e =</w:t>
      </w:r>
      <w:r>
        <w:t xml:space="preserve"> </w:t>
      </w:r>
      <w:r>
        <w:rPr>
          <w:bCs/>
          <w:b/>
        </w:rPr>
        <w:t xml:space="preserve">-3.09 kgCO2e/unit</w:t>
      </w:r>
      <w:r>
        <w:t xml:space="preserve"> </w:t>
      </w:r>
      <w:r>
        <w:t xml:space="preserve">(Net credit)</w:t>
      </w:r>
    </w:p>
    <w:p>
      <w:pPr>
        <w:pStyle w:val="FirstParagraph"/>
      </w:pPr>
      <w:r>
        <w:rPr>
          <w:bCs/>
          <w:b/>
        </w:rPr>
        <w:t xml:space="preserve">c. Downstream Transportation and Distribution (Category 9 - Downstream Transportation and Distribution):</w:t>
      </w:r>
    </w:p>
    <w:p>
      <w:pPr>
        <w:pStyle w:val="BodyText"/>
      </w:pPr>
      <w:r>
        <w:t xml:space="preserve">This covers the last-mile delivery of the product to the end-user.</w:t>
      </w:r>
    </w:p>
    <w:p>
      <w:pPr>
        <w:numPr>
          <w:ilvl w:val="0"/>
          <w:numId w:val="1015"/>
        </w:numPr>
        <w:pStyle w:val="Compact"/>
      </w:pPr>
      <w:r>
        <w:t xml:space="preserve">Delivery Type: Parcel Delivery (Van)</w:t>
      </w:r>
    </w:p>
    <w:p>
      <w:pPr>
        <w:numPr>
          <w:ilvl w:val="0"/>
          <w:numId w:val="1015"/>
        </w:numPr>
        <w:pStyle w:val="Compact"/>
      </w:pPr>
      <w:r>
        <w:t xml:space="preserve">Estimated Last-Mile Delivery Distance: 50 km</w:t>
      </w:r>
    </w:p>
    <w:p>
      <w:pPr>
        <w:numPr>
          <w:ilvl w:val="0"/>
          <w:numId w:val="1015"/>
        </w:numPr>
        <w:pStyle w:val="Compact"/>
      </w:pPr>
      <w:r>
        <w:t xml:space="preserve">Emission Factor (Average Van, up to 3.5 tonnes, illustrative): 0.25 kgCO2e/km.</w:t>
      </w:r>
    </w:p>
    <w:p>
      <w:pPr>
        <w:numPr>
          <w:ilvl w:val="0"/>
          <w:numId w:val="1015"/>
        </w:numPr>
        <w:pStyle w:val="Compact"/>
      </w:pPr>
      <w:r>
        <w:rPr>
          <w:bCs/>
          <w:b/>
        </w:rPr>
        <w:t xml:space="preserve">Last-Mile Delivery Emissions:</w:t>
      </w:r>
      <w:r>
        <w:t xml:space="preserve"> </w:t>
      </w:r>
      <w:r>
        <w:t xml:space="preserve">50 km * 0.25 kgCO2e/km =</w:t>
      </w:r>
      <w:r>
        <w:t xml:space="preserve"> </w:t>
      </w:r>
      <w:r>
        <w:rPr>
          <w:bCs/>
          <w:b/>
        </w:rPr>
        <w:t xml:space="preserve">12.50 kgCO2e/unit</w:t>
      </w:r>
    </w:p>
    <w:bookmarkEnd w:id="34"/>
    <w:bookmarkEnd w:id="35"/>
    <w:bookmarkStart w:id="36" w:name="total-product-carbon-footprint-summary"/>
    <w:p>
      <w:pPr>
        <w:pStyle w:val="Heading4"/>
      </w:pPr>
      <w:r>
        <w:t xml:space="preserve">3.4. Total Product Carbon Footprint Summary</w:t>
      </w:r>
    </w:p>
    <w:p>
      <w:pPr>
        <w:pStyle w:val="FirstParagraph"/>
      </w:pPr>
      <w:r>
        <w:t xml:space="preserve">The total carbon footprint for one functional unit (1.0 unit) of ffqvfssdsi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 Source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Phase in China)</w:t>
            </w:r>
          </w:p>
        </w:tc>
        <w:tc>
          <w:tcPr/>
          <w:p>
            <w:pPr>
              <w:pStyle w:val="Compact"/>
              <w:jc w:val="left"/>
            </w:pPr>
            <w:r>
              <w:t xml:space="preserve">1.97</w:t>
            </w:r>
          </w:p>
        </w:tc>
      </w:tr>
      <w:tr>
        <w:tc>
          <w:tcPr>
            <w:vMerge w:val="restart"/>
          </w:tcPr>
          <w:p>
            <w:pPr>
              <w:pStyle w:val="Compact"/>
              <w:jc w:val="left"/>
            </w:pPr>
            <w:r>
              <w:t xml:space="preserve">Scope 3 Upstream</w:t>
            </w:r>
          </w:p>
        </w:tc>
        <w:tc>
          <w:tcPr/>
          <w:p>
            <w:pPr>
              <w:pStyle w:val="Compact"/>
              <w:jc w:val="left"/>
            </w:pPr>
            <w:r>
              <w:t xml:space="preserve">Material Acquisition &amp; Pre-processing</w:t>
            </w:r>
          </w:p>
        </w:tc>
        <w:tc>
          <w:tcPr/>
          <w:p>
            <w:pPr>
              <w:pStyle w:val="Compact"/>
              <w:jc w:val="left"/>
            </w:pPr>
            <w:r>
              <w:t xml:space="preserve">5.75</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0.33</w:t>
            </w:r>
          </w:p>
        </w:tc>
      </w:tr>
      <w:tr>
        <w:tc>
          <w:tcPr>
            <w:gridSpan w:val="2"/>
          </w:tcPr>
          <w:p>
            <w:pPr>
              <w:pStyle w:val="Compact"/>
              <w:jc w:val="left"/>
            </w:pPr>
            <w:r>
              <w:rPr>
                <w:bCs/>
                <w:b/>
              </w:rPr>
              <w:t xml:space="preserve">Total Scope 3 Upstream Emissions</w:t>
            </w:r>
          </w:p>
        </w:tc>
        <w:tc>
          <w:tcPr/>
          <w:p>
            <w:pPr>
              <w:pStyle w:val="Compact"/>
              <w:jc w:val="left"/>
            </w:pPr>
            <w:r>
              <w:rPr>
                <w:bCs/>
                <w:b/>
              </w:rPr>
              <w:t xml:space="preserve">6.08</w:t>
            </w:r>
          </w:p>
        </w:tc>
      </w:tr>
      <w:tr>
        <w:tc>
          <w:tcPr>
            <w:vMerge w:val="restart"/>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26.25</w:t>
            </w:r>
          </w:p>
        </w:tc>
      </w:tr>
      <w:tr>
        <w:tc>
          <w:tcPr>
            <w:gridSpan w:val="1"/>
            <w:vMerge w:val="continue"/>
          </w:tcPr>
          <w:p>
            <w:pPr/>
          </w:p>
        </w:tc>
        <w:tc>
          <w:tcPr/>
          <w:p>
            <w:pPr>
              <w:pStyle w:val="Compact"/>
              <w:jc w:val="left"/>
            </w:pPr>
            <w:r>
              <w:t xml:space="preserve">End-of-Life Treatment (Net: Disposal &amp; Recycling Credit)</w:t>
            </w:r>
          </w:p>
        </w:tc>
        <w:tc>
          <w:tcPr/>
          <w:p>
            <w:pPr>
              <w:pStyle w:val="Compact"/>
              <w:jc w:val="left"/>
            </w:pPr>
            <w:r>
              <w:t xml:space="preserve">-3.09</w:t>
            </w:r>
          </w:p>
        </w:tc>
      </w:tr>
      <w:tr>
        <w:tc>
          <w:tcPr>
            <w:gridSpan w:val="1"/>
            <w:vMerge w:val="continue"/>
          </w:tcPr>
          <w:p>
            <w:pPr/>
          </w:p>
        </w:tc>
        <w:tc>
          <w:tcPr/>
          <w:p>
            <w:pPr>
              <w:pStyle w:val="Compact"/>
              <w:jc w:val="left"/>
            </w:pPr>
            <w:r>
              <w:t xml:space="preserve">Last-Mile Delivery (to End-User)</w:t>
            </w:r>
          </w:p>
        </w:tc>
        <w:tc>
          <w:tcPr/>
          <w:p>
            <w:pPr>
              <w:pStyle w:val="Compact"/>
              <w:jc w:val="left"/>
            </w:pPr>
            <w:r>
              <w:t xml:space="preserve">12.50</w:t>
            </w:r>
          </w:p>
        </w:tc>
      </w:tr>
      <w:tr>
        <w:tc>
          <w:tcPr>
            <w:gridSpan w:val="2"/>
          </w:tcPr>
          <w:p>
            <w:pPr>
              <w:pStyle w:val="Compact"/>
              <w:jc w:val="left"/>
            </w:pPr>
            <w:r>
              <w:rPr>
                <w:bCs/>
                <w:b/>
              </w:rPr>
              <w:t xml:space="preserve">Total Scope 3 Downstream Emissions</w:t>
            </w:r>
          </w:p>
        </w:tc>
        <w:tc>
          <w:tcPr/>
          <w:p>
            <w:pPr>
              <w:pStyle w:val="Compact"/>
              <w:jc w:val="left"/>
            </w:pPr>
            <w:r>
              <w:rPr>
                <w:bCs/>
                <w:b/>
              </w:rPr>
              <w:t xml:space="preserve">35.66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43.71</w:t>
            </w:r>
          </w:p>
        </w:tc>
      </w:tr>
    </w:tbl>
    <w:p>
      <w:r>
        <w:pict>
          <v:rect style="width:0;height:1.5pt" o:hralign="center" o:hrstd="t" o:hr="t"/>
        </w:pict>
      </w:r>
    </w:p>
    <w:bookmarkEnd w:id="36"/>
    <w:bookmarkEnd w:id="37"/>
    <w:bookmarkEnd w:id="38"/>
    <w:bookmarkStart w:id="42" w:name="review-report"/>
    <w:p>
      <w:pPr>
        <w:pStyle w:val="Heading2"/>
      </w:pPr>
      <w:r>
        <w:t xml:space="preserve">4. Review &amp; Report</w:t>
      </w:r>
    </w:p>
    <w:bookmarkStart w:id="39" w:name="emission-hotspots"/>
    <w:p>
      <w:pPr>
        <w:pStyle w:val="Heading3"/>
      </w:pPr>
      <w:r>
        <w:t xml:space="preserve">4.1. Emission Hotspots</w:t>
      </w:r>
    </w:p>
    <w:p>
      <w:pPr>
        <w:pStyle w:val="FirstParagraph"/>
      </w:pPr>
      <w:r>
        <w:t xml:space="preserve">The analysis reveals the following key emission hotspots for ffqvfssdsi:</w:t>
      </w:r>
    </w:p>
    <w:p>
      <w:pPr>
        <w:numPr>
          <w:ilvl w:val="0"/>
          <w:numId w:val="1016"/>
        </w:numPr>
        <w:pStyle w:val="Compact"/>
      </w:pPr>
      <w:r>
        <w:rPr>
          <w:bCs/>
          <w:b/>
        </w:rPr>
        <w:t xml:space="preserve">Use Phase (26.25 kgCO2e):</w:t>
      </w:r>
      <w:r>
        <w:t xml:space="preserve"> </w:t>
      </w:r>
      <w:r>
        <w:t xml:space="preserve">This is the most significant hotspot, primarily due to the energy consumption of the product over its 7-year lifespan. This highlights the importance of energy efficiency during the product\'s operational use.</w:t>
      </w:r>
    </w:p>
    <w:p>
      <w:pPr>
        <w:numPr>
          <w:ilvl w:val="0"/>
          <w:numId w:val="1016"/>
        </w:numPr>
        <w:pStyle w:val="Compact"/>
      </w:pPr>
      <w:r>
        <w:rPr>
          <w:bCs/>
          <w:b/>
        </w:rPr>
        <w:t xml:space="preserve">Last-Mile Delivery (12.50 kgCO2e):</w:t>
      </w:r>
      <w:r>
        <w:t xml:space="preserve"> </w:t>
      </w:r>
      <w:r>
        <w:t xml:space="preserve">Downstream transportation contributes substantially, indicating that optimizing delivery routes, vehicle types, and logistics efficiency is crucial.</w:t>
      </w:r>
    </w:p>
    <w:p>
      <w:pPr>
        <w:numPr>
          <w:ilvl w:val="0"/>
          <w:numId w:val="1016"/>
        </w:numPr>
        <w:pStyle w:val="Compact"/>
      </w:pPr>
      <w:r>
        <w:rPr>
          <w:bCs/>
          <w:b/>
        </w:rPr>
        <w:t xml:space="preserve">Material Acquisition (5.75 kgCO2e):</w:t>
      </w:r>
      <w:r>
        <w:t xml:space="preserve"> </w:t>
      </w:r>
      <w:r>
        <w:t xml:space="preserve">The impact of raw materials, particularly the aluminum casing and plastic enclosure, is notable. Sourcing lower-carbon materials or increasing recycled content in components can reduce this impact.</w:t>
      </w:r>
    </w:p>
    <w:p>
      <w:pPr>
        <w:numPr>
          <w:ilvl w:val="0"/>
          <w:numId w:val="1016"/>
        </w:numPr>
        <w:pStyle w:val="Compact"/>
      </w:pPr>
      <w:r>
        <w:rPr>
          <w:bCs/>
          <w:b/>
        </w:rPr>
        <w:t xml:space="preserve">End-of-Life (Net Credit of -3.09 kgCO2e):</w:t>
      </w:r>
      <w:r>
        <w:t xml:space="preserve"> </w:t>
      </w:r>
      <w:r>
        <w:t xml:space="preserve">The comprehensive take-back and recycling program provides a significant net credit, demonstrating the positive impact of circular economy initiatives in avoiding virgin material production.</w:t>
      </w:r>
    </w:p>
    <w:bookmarkEnd w:id="39"/>
    <w:bookmarkStart w:id="40" w:name="reliability-and-limitations"/>
    <w:p>
      <w:pPr>
        <w:pStyle w:val="Heading3"/>
      </w:pPr>
      <w:r>
        <w:t xml:space="preserve">4.2. Reliability and Limitations</w:t>
      </w:r>
    </w:p>
    <w:p>
      <w:pPr>
        <w:pStyle w:val="FirstParagraph"/>
      </w:pPr>
      <w:r>
        <w:t xml:space="preserve">The reliability of this PCF analysis is high due to the incorporation of detailed product-specific data. However, certain limitations inherent in any LCA should be noted:</w:t>
      </w:r>
    </w:p>
    <w:p>
      <w:pPr>
        <w:numPr>
          <w:ilvl w:val="0"/>
          <w:numId w:val="1017"/>
        </w:numPr>
        <w:pStyle w:val="Compact"/>
      </w:pPr>
      <w:r>
        <w:rPr>
          <w:bCs/>
          <w:b/>
        </w:rPr>
        <w:t xml:space="preserve">Illustrative Emission Factors:</w:t>
      </w:r>
      <w:r>
        <w:t xml:space="preserve"> </w:t>
      </w:r>
      <w:r>
        <w:t xml:space="preserve">While industry-standard emission factors (e.g., from Ecoinvent/DEFRA) are cited and used, specific, real-world supplier-specific emission factors for every material and process step beyond the provided BOM were not available and were approximated with best available averages.</w:t>
      </w:r>
    </w:p>
    <w:p>
      <w:pPr>
        <w:numPr>
          <w:ilvl w:val="0"/>
          <w:numId w:val="1017"/>
        </w:numPr>
        <w:pStyle w:val="Compact"/>
      </w:pPr>
      <w:r>
        <w:rPr>
          <w:bCs/>
          <w:b/>
        </w:rPr>
        <w:t xml:space="preserve">Geographic Specificity:</w:t>
      </w:r>
      <w:r>
        <w:t xml:space="preserve"> </w:t>
      </w:r>
      <w:r>
        <w:t xml:space="preserve">General European and Chinese grid mixes were used for energy consumption where exact regional data was unavailable.</w:t>
      </w:r>
    </w:p>
    <w:p>
      <w:pPr>
        <w:numPr>
          <w:ilvl w:val="0"/>
          <w:numId w:val="1017"/>
        </w:numPr>
        <w:pStyle w:val="Compact"/>
      </w:pPr>
      <w:r>
        <w:rPr>
          <w:bCs/>
          <w:b/>
        </w:rPr>
        <w:t xml:space="preserve">EoL Modeling:</w:t>
      </w:r>
      <w:r>
        <w:t xml:space="preserve"> </w:t>
      </w:r>
      <w:r>
        <w:t xml:space="preserve">End-of-Life scenarios involve complex assumptions regarding collection rates, processing efficiencies, and displacement credits for recycled materials. The simplified credit model used provides an estimate of avoided emissions.</w:t>
      </w:r>
    </w:p>
    <w:p>
      <w:pPr>
        <w:numPr>
          <w:ilvl w:val="0"/>
          <w:numId w:val="1017"/>
        </w:numPr>
        <w:pStyle w:val="Compact"/>
      </w:pPr>
      <w:r>
        <w:rPr>
          <w:bCs/>
          <w:b/>
        </w:rPr>
        <w:t xml:space="preserve">System Boundary Extent:</w:t>
      </w:r>
      <w:r>
        <w:t xml:space="preserve"> </w:t>
      </w:r>
      <w:r>
        <w:t xml:space="preserve">While extending beyond \'factory_gate\' for a comprehensive view, the primary system boundary definition guides the depth of analysis in each stage.</w:t>
      </w:r>
    </w:p>
    <w:bookmarkEnd w:id="40"/>
    <w:bookmarkStart w:id="41" w:name="recommendations-for-reduction"/>
    <w:p>
      <w:pPr>
        <w:pStyle w:val="Heading3"/>
      </w:pPr>
      <w:r>
        <w:t xml:space="preserve">4.3. Recommendations for Reduction</w:t>
      </w:r>
    </w:p>
    <w:p>
      <w:pPr>
        <w:pStyle w:val="FirstParagraph"/>
      </w:pPr>
      <w:r>
        <w:t xml:space="preserve">Based on this analysis, uhzytehdmy should focus on the following to reduce the carbon footprint of ffqvfssdsi:</w:t>
      </w:r>
    </w:p>
    <w:p>
      <w:pPr>
        <w:numPr>
          <w:ilvl w:val="0"/>
          <w:numId w:val="1018"/>
        </w:numPr>
        <w:pStyle w:val="Compact"/>
      </w:pPr>
      <w:r>
        <w:rPr>
          <w:bCs/>
          <w:b/>
        </w:rPr>
        <w:t xml:space="preserve">Enhance Use Phase Efficiency:</w:t>
      </w:r>
      <w:r>
        <w:t xml:space="preserve"> </w:t>
      </w:r>
      <w:r>
        <w:t xml:space="preserve">Invest in R&amp;D for more energy-efficient product designs to reduce energy consumption during the product\'s lifespan. Promoting user awareness for efficient operation can also contribute.</w:t>
      </w:r>
    </w:p>
    <w:p>
      <w:pPr>
        <w:numPr>
          <w:ilvl w:val="0"/>
          <w:numId w:val="1018"/>
        </w:numPr>
        <w:pStyle w:val="Compact"/>
      </w:pPr>
      <w:r>
        <w:rPr>
          <w:bCs/>
          <w:b/>
        </w:rPr>
        <w:t xml:space="preserve">Optimize Logistics:</w:t>
      </w:r>
      <w:r>
        <w:t xml:space="preserve"> </w:t>
      </w:r>
      <w:r>
        <w:t xml:space="preserve">Explore more efficient and lower-emission transport modes for both upstream and downstream logistics, such as optimizing load factors, route planning, or shifting to electric delivery vehicles.</w:t>
      </w:r>
    </w:p>
    <w:p>
      <w:pPr>
        <w:numPr>
          <w:ilvl w:val="0"/>
          <w:numId w:val="1018"/>
        </w:numPr>
        <w:pStyle w:val="Compact"/>
      </w:pPr>
      <w:r>
        <w:rPr>
          <w:bCs/>
          <w:b/>
        </w:rPr>
        <w:t xml:space="preserve">Sustainable Material Sourcing:</w:t>
      </w:r>
      <w:r>
        <w:t xml:space="preserve"> </w:t>
      </w:r>
      <w:r>
        <w:t xml:space="preserve">Investigate opportunities to procure materials with lower embedded carbon, increase the percentage of recycled content in components (e.g., aluminum, plastics), and engage with suppliers on their decarbonization efforts.</w:t>
      </w:r>
    </w:p>
    <w:p>
      <w:pPr>
        <w:numPr>
          <w:ilvl w:val="0"/>
          <w:numId w:val="1018"/>
        </w:numPr>
        <w:pStyle w:val="Compact"/>
      </w:pPr>
      <w:r>
        <w:rPr>
          <w:bCs/>
          <w:b/>
        </w:rPr>
        <w:t xml:space="preserve">Strengthen Circularity:</w:t>
      </w:r>
      <w:r>
        <w:t xml:space="preserve"> </w:t>
      </w:r>
      <w:r>
        <w:t xml:space="preserve">Continue to promote and expand take-back and recycling programs, ensuring high collection rates and efficient reprocessing to maximize avoided emissions.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ffqvfssdsi</dc:title>
  <dc:creator/>
  <dc:description>A high-detail Product Carbon Footprint (PCF) analysis report for ffqvfssdsi, adhering to GHG Protocol standards and 2026 updates, performed by Senior Sustainability Consultant iyuoqisoni for uhzytehdmy.</dc:description>
  <dc:language>en</dc:language>
  <cp:keywords/>
  <dcterms:created xsi:type="dcterms:W3CDTF">2026-07-15T13:33:38Z</dcterms:created>
  <dcterms:modified xsi:type="dcterms:W3CDTF">2026-07-15T13:33:38Z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