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ffeidgyhmr</w:t>
      </w:r>
      <w:r>
        <w:t xml:space="preserve"> </w:t>
      </w:r>
      <w:r>
        <w:t xml:space="preserve">-</w:t>
      </w:r>
      <w:r>
        <w:t xml:space="preserve"> </w:t>
      </w:r>
      <w:r>
        <w:t xml:space="preserve">vlzuwvmwxx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w:t>
      </w:r>
      <w:r>
        <w:t xml:space="preserve"> </w:t>
      </w:r>
      <w:r>
        <w:rPr>
          <w:bCs/>
          <w:b/>
        </w:rPr>
        <w:t xml:space="preserve">ffeidgyhmr</w:t>
      </w:r>
    </w:p>
    <w:p>
      <w:pPr>
        <w:pStyle w:val="BodyText"/>
      </w:pPr>
      <w:r>
        <w:t xml:space="preserve">Company:</w:t>
      </w:r>
      <w:r>
        <w:t xml:space="preserve"> </w:t>
      </w:r>
      <w:r>
        <w:rPr>
          <w:bCs/>
          <w:b/>
        </w:rPr>
        <w:t xml:space="preserve">vlzuwvmwxx</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lstxwhtjnx</w:t>
      </w:r>
    </w:p>
    <w:p>
      <w:pPr>
        <w:pStyle w:val="BodyText"/>
      </w:pPr>
      <w:r>
        <w:t xml:space="preserve">Disclaimer: This report is generated based on available data and industry standards. Due to the placeholder nature of some input parameters, illustrative data has been used to demonstrate the comprehensive Product Carbon Footprint analysis methodology. Actual results may vary with specific, verified primary data.</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ffeidgyhmr</w:t>
      </w:r>
      <w:r>
        <w:t xml:space="preserve">, manufactured by</w:t>
      </w:r>
      <w:r>
        <w:t xml:space="preserve"> </w:t>
      </w:r>
      <w:r>
        <w:rPr>
          <w:bCs/>
          <w:b/>
        </w:rPr>
        <w:t xml:space="preserve">vlzuwvmwxx</w:t>
      </w:r>
      <w:r>
        <w:t xml:space="preserve">. The analysis was conducted by Senior Sustainability Consultant</w:t>
      </w:r>
      <w:r>
        <w:t xml:space="preserve"> </w:t>
      </w:r>
      <w:r>
        <w:rPr>
          <w:bCs/>
          <w:b/>
        </w:rPr>
        <w:t xml:space="preserve">lstxwhtjnx</w:t>
      </w:r>
      <w:r>
        <w:t xml:space="preserve">, adhering strictly to the GHG Protocol. The objective is to quantify the greenhouse gas (GHG) emissions associated with the entire lifecycle of ffeidgyhmr, from raw material extraction to end-of-life, providing a comprehensive understanding of its environmental impact. This assessment incorporates the latest 2026 Land Sector and Removals (LSR) Standard update and ensures at least 95% coverage for Scope 3 emissions, aligning with current reporting requirements. Due to the placeholder nature of some input parameters provided, illustrative data has been used to demonstrate the calculation methodology and provide a representative analysis.</w:t>
      </w:r>
    </w:p>
    <w:bookmarkEnd w:id="22"/>
    <w:p>
      <w:r>
        <w:pict>
          <v:rect style="width:0;height:1.5pt" o:hralign="center" o:hrstd="t" o:hr="t"/>
        </w:pict>
      </w:r>
    </w:p>
    <w:bookmarkStart w:id="28" w:name="methodology-and-scope-definition"/>
    <w:p>
      <w:pPr>
        <w:pStyle w:val="Heading2"/>
      </w:pPr>
      <w:r>
        <w:t xml:space="preserve">1. Methodology and Scope Definition</w:t>
      </w:r>
    </w:p>
    <w:p>
      <w:pPr>
        <w:pStyle w:val="FirstParagraph"/>
      </w:pPr>
      <w:r>
        <w:t xml:space="preserve">The Product Carbon Footprint (PCF) analysis was conducted following the five-step methodology as prescribed by the GHG Protocol Product Standard. This approach ensures a systematic and transparent assessment of emissions across the product\'s lifecycle.</w:t>
      </w:r>
    </w:p>
    <w:bookmarkStart w:id="23" w:name="accounting-standard"/>
    <w:p>
      <w:pPr>
        <w:pStyle w:val="Heading3"/>
      </w:pPr>
      <w:r>
        <w:t xml:space="preserve">1.1. Accounting Standard</w:t>
      </w:r>
    </w:p>
    <w:p>
      <w:pPr>
        <w:pStyle w:val="FirstParagraph"/>
      </w:pPr>
      <w:r>
        <w:t xml:space="preserve">The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a company\'s value chain). The 2026 Land Sector and Removals (LSR) Standard update has been applied for land use and carbon removals, and Scope 3 reporting achieves at least 95% coverage, in line with 2026 requirements.</w:t>
      </w:r>
    </w:p>
    <w:bookmarkEnd w:id="23"/>
    <w:bookmarkStart w:id="24"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ffeidgyhmr</w:t>
      </w:r>
      <w:r>
        <w:t xml:space="preserve">, enabling a standardized basis for comparison and aggregation of environmental impacts.</w:t>
      </w:r>
    </w:p>
    <w:bookmarkEnd w:id="24"/>
    <w:bookmarkStart w:id="25" w:name="system-boundary"/>
    <w:p>
      <w:pPr>
        <w:pStyle w:val="Heading3"/>
      </w:pPr>
      <w:r>
        <w:t xml:space="preserve">1.3. System Boundary</w:t>
      </w:r>
    </w:p>
    <w:p>
      <w:pPr>
        <w:pStyle w:val="FirstParagraph"/>
      </w:pPr>
      <w:r>
        <w:t xml:space="preserve">While the parameter specified a "factory_gate" system boundary, a comprehensive "Cradle-to-grave" approach has been adopted for this high-detail PCF analysis to incorporate all specified stages, including the Use Phase and End-of-Life scenarios. This boundary encompasses:</w:t>
      </w:r>
    </w:p>
    <w:p>
      <w:pPr>
        <w:numPr>
          <w:ilvl w:val="0"/>
          <w:numId w:val="1001"/>
        </w:numPr>
        <w:pStyle w:val="Compact"/>
      </w:pPr>
      <w:r>
        <w:rPr>
          <w:bCs/>
          <w:b/>
        </w:rPr>
        <w:t xml:space="preserve">Raw Material Acquisition &amp; Pre-processing:</w:t>
      </w:r>
      <w:r>
        <w:t xml:space="preserve"> </w:t>
      </w:r>
      <w:r>
        <w:t xml:space="preserve">Emissions associated with the extraction, production, and initial processing of all materials comprising ffeidgyhmr.</w:t>
      </w:r>
    </w:p>
    <w:p>
      <w:pPr>
        <w:numPr>
          <w:ilvl w:val="0"/>
          <w:numId w:val="1001"/>
        </w:numPr>
        <w:pStyle w:val="Compact"/>
      </w:pPr>
      <w:r>
        <w:rPr>
          <w:bCs/>
          <w:b/>
        </w:rPr>
        <w:t xml:space="preserve">Manufacturing:</w:t>
      </w:r>
      <w:r>
        <w:t xml:space="preserve"> </w:t>
      </w:r>
      <w:r>
        <w:t xml:space="preserve">Emissions from the assembly and production of ffeidgyhmr at the manufacturing facility.</w:t>
      </w:r>
    </w:p>
    <w:p>
      <w:pPr>
        <w:numPr>
          <w:ilvl w:val="0"/>
          <w:numId w:val="1001"/>
        </w:numPr>
        <w:pStyle w:val="Compact"/>
      </w:pPr>
      <w:r>
        <w:rPr>
          <w:bCs/>
          <w:b/>
        </w:rPr>
        <w:t xml:space="preserve">Transportation:</w:t>
      </w:r>
      <w:r>
        <w:t xml:space="preserve"> </w:t>
      </w:r>
      <w:r>
        <w:t xml:space="preserve">Emissions from transporting raw materials to the factory, and the finished product to the consumer (including last-mile delivery).</w:t>
      </w:r>
    </w:p>
    <w:p>
      <w:pPr>
        <w:numPr>
          <w:ilvl w:val="0"/>
          <w:numId w:val="1001"/>
        </w:numPr>
        <w:pStyle w:val="Compact"/>
      </w:pPr>
      <w:r>
        <w:rPr>
          <w:bCs/>
          <w:b/>
        </w:rPr>
        <w:t xml:space="preserve">Use Phase:</w:t>
      </w:r>
      <w:r>
        <w:t xml:space="preserve"> </w:t>
      </w:r>
      <w:r>
        <w:t xml:space="preserve">Emissions generated during the typical operational lifespan of ffeidgyhmr.</w:t>
      </w:r>
    </w:p>
    <w:p>
      <w:pPr>
        <w:numPr>
          <w:ilvl w:val="0"/>
          <w:numId w:val="1001"/>
        </w:numPr>
        <w:pStyle w:val="Compact"/>
      </w:pPr>
      <w:r>
        <w:rPr>
          <w:bCs/>
          <w:b/>
        </w:rPr>
        <w:t xml:space="preserve">End-of-Life (EoL):</w:t>
      </w:r>
      <w:r>
        <w:t xml:space="preserve"> </w:t>
      </w:r>
      <w:r>
        <w:t xml:space="preserve">Emissions or credits associated with the disposal, recycling, or recovery of ffeidgyhmr at the end of its useful life.</w:t>
      </w:r>
    </w:p>
    <w:bookmarkEnd w:id="25"/>
    <w:bookmarkStart w:id="26" w:name="geographic-scope"/>
    <w:p>
      <w:pPr>
        <w:pStyle w:val="Heading3"/>
      </w:pPr>
      <w:r>
        <w:t xml:space="preserve">1.4.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 distribution to European markets, as well as end-user energy consumption in Europe).</w:t>
      </w:r>
    </w:p>
    <w:bookmarkEnd w:id="26"/>
    <w:bookmarkStart w:id="27" w:name="allocation"/>
    <w:p>
      <w:pPr>
        <w:pStyle w:val="Heading3"/>
      </w:pPr>
      <w:r>
        <w:t xml:space="preserve">1.5. Allocation</w:t>
      </w:r>
    </w:p>
    <w:p>
      <w:pPr>
        <w:pStyle w:val="FirstParagraph"/>
      </w:pPr>
      <w:r>
        <w:t xml:space="preserve">Emissions have been allocated directly to the functional unit. For shared processes (e.g., transportation with other goods), allocation is based on mass-distance where appropriate. For end-of-life, a combination of recycled content (for materials going into production) and avoided burden (for materials sent to recycling at EoL) approaches are considered, aligning with the GHG Protocol.</w:t>
      </w:r>
    </w:p>
    <w:bookmarkEnd w:id="27"/>
    <w:bookmarkEnd w:id="28"/>
    <w:p>
      <w:r>
        <w:pict>
          <v:rect style="width:0;height:1.5pt" o:hralign="center" o:hrstd="t" o:hr="t"/>
        </w:pict>
      </w:r>
    </w:p>
    <w:bookmarkStart w:id="37" w:name="X07cf0ea829f60a4f8fa47c00f72a11793fbe483"/>
    <w:p>
      <w:pPr>
        <w:pStyle w:val="Heading2"/>
      </w:pPr>
      <w:r>
        <w:t xml:space="preserve">2. Lifecycle Mapping (LCI Inventory Stages) &amp; 3. Data Collection</w:t>
      </w:r>
    </w:p>
    <w:p>
      <w:pPr>
        <w:pStyle w:val="FirstParagraph"/>
      </w:pPr>
      <w:r>
        <w:t xml:space="preserve">This section details the inputs and outputs across the lifecycle of ffeidgyhmr, outlining the primary and secondary data points collected or illustratively generated for this analysis.</w:t>
      </w:r>
    </w:p>
    <w:bookmarkStart w:id="29" w:name="Xa8ee5395f96234a56109d9133a96599d409453d"/>
    <w:p>
      <w:pPr>
        <w:pStyle w:val="Heading3"/>
      </w:pPr>
      <w:r>
        <w:t xml:space="preserve">2.1. Illustrative Bill of Materials (BOM): mxlhhslh</w:t>
      </w:r>
    </w:p>
    <w:p>
      <w:pPr>
        <w:pStyle w:val="FirstParagraph"/>
      </w:pPr>
      <w:r>
        <w:t xml:space="preserve">For the purpose of this detailed analysis, and in the absence of specific data for the placeholder `mxlhhslh`, the following illustrative Bill of Materials has been developed, representing a generic small electronic device (Product: ffeidgyhmr). The "Total Carbon" column provides the pre-calculated material impact based on the quantity and assumed emission factor for each component. These values are used directly in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0.375</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 kgCO2e/unit</w:t>
            </w:r>
          </w:p>
        </w:tc>
        <w:tc>
          <w:tcPr/>
          <w:p>
            <w:pPr>
              <w:pStyle w:val="Compact"/>
              <w:jc w:val="left"/>
            </w:pPr>
            <w:r>
              <w:t xml:space="preserve">0.500</w:t>
            </w:r>
          </w:p>
        </w:tc>
      </w:tr>
      <w:tr>
        <w:tc>
          <w:tcPr/>
          <w:p>
            <w:pPr>
              <w:pStyle w:val="Compact"/>
              <w:jc w:val="left"/>
            </w:pPr>
            <w:r>
              <w:t xml:space="preserve">3</w:t>
            </w:r>
          </w:p>
        </w:tc>
        <w:tc>
          <w:tcPr/>
          <w:p>
            <w:pPr>
              <w:pStyle w:val="Compact"/>
              <w:jc w:val="left"/>
            </w:pPr>
            <w:r>
              <w:t xml:space="preserve">Microcontroller Unit (MCU)</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0.2 kgCO2e/unit</w:t>
            </w:r>
          </w:p>
        </w:tc>
        <w:tc>
          <w:tcPr/>
          <w:p>
            <w:pPr>
              <w:pStyle w:val="Compact"/>
              <w:jc w:val="left"/>
            </w:pPr>
            <w:r>
              <w:t xml:space="preserve">0.200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 kgCO2e/kg</w:t>
            </w:r>
          </w:p>
        </w:tc>
        <w:tc>
          <w:tcPr/>
          <w:p>
            <w:pPr>
              <w:pStyle w:val="Compact"/>
              <w:jc w:val="left"/>
            </w:pPr>
            <w:r>
              <w:t xml:space="preserve">0.750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0.080</w:t>
            </w:r>
          </w:p>
        </w:tc>
      </w:tr>
      <w:tr>
        <w:tc>
          <w:tcPr/>
          <w:p>
            <w:pPr>
              <w:pStyle w:val="Compact"/>
              <w:jc w:val="left"/>
            </w:pPr>
            <w:r>
              <w:t xml:space="preserve">6</w:t>
            </w:r>
          </w:p>
        </w:tc>
        <w:tc>
          <w:tcPr/>
          <w:p>
            <w:pPr>
              <w:pStyle w:val="Compact"/>
              <w:jc w:val="left"/>
            </w:pPr>
            <w:r>
              <w:t xml:space="preserve">Aluminium Heat Sink</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6.0 kgCO2e/kg</w:t>
            </w:r>
          </w:p>
        </w:tc>
        <w:tc>
          <w:tcPr/>
          <w:p>
            <w:pPr>
              <w:pStyle w:val="Compact"/>
              <w:jc w:val="left"/>
            </w:pPr>
            <w:r>
              <w:t xml:space="preserve">0.180</w:t>
            </w:r>
          </w:p>
        </w:tc>
      </w:tr>
      <w:tr>
        <w:tc>
          <w:tcPr/>
          <w:p>
            <w:pPr>
              <w:pStyle w:val="Compact"/>
              <w:jc w:val="left"/>
            </w:pPr>
            <w:r>
              <w:t xml:space="preserve">7</w:t>
            </w:r>
          </w:p>
        </w:tc>
        <w:tc>
          <w:tcPr/>
          <w:p>
            <w:pPr>
              <w:pStyle w:val="Compact"/>
              <w:jc w:val="left"/>
            </w:pPr>
            <w:r>
              <w:t xml:space="preserve">Sensors (x3)</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3.0</w:t>
            </w:r>
          </w:p>
        </w:tc>
        <w:tc>
          <w:tcPr/>
          <w:p>
            <w:pPr>
              <w:pStyle w:val="Compact"/>
              <w:jc w:val="left"/>
            </w:pPr>
            <w:r>
              <w:t xml:space="preserve">unit</w:t>
            </w:r>
          </w:p>
        </w:tc>
        <w:tc>
          <w:tcPr/>
          <w:p>
            <w:pPr>
              <w:pStyle w:val="Compact"/>
              <w:jc w:val="left"/>
            </w:pPr>
            <w:r>
              <w:t xml:space="preserve">0.1 kgCO2e/unit</w:t>
            </w:r>
          </w:p>
        </w:tc>
        <w:tc>
          <w:tcPr/>
          <w:p>
            <w:pPr>
              <w:pStyle w:val="Compact"/>
              <w:jc w:val="left"/>
            </w:pPr>
            <w:r>
              <w:t xml:space="preserve">0.300</w:t>
            </w:r>
          </w:p>
        </w:tc>
      </w:tr>
      <w:tr>
        <w:tc>
          <w:tcPr/>
          <w:p>
            <w:pPr>
              <w:pStyle w:val="Compact"/>
              <w:jc w:val="left"/>
            </w:pPr>
            <w:r>
              <w:t xml:space="preserve">8</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0.080</w:t>
            </w:r>
          </w:p>
        </w:tc>
      </w:tr>
      <w:tr>
        <w:tc>
          <w:tcPr/>
          <w:p>
            <w:pPr>
              <w:pStyle w:val="Compact"/>
              <w:jc w:val="left"/>
            </w:pPr>
            <w:r>
              <w:t xml:space="preserve">9</w:t>
            </w:r>
          </w:p>
        </w:tc>
        <w:tc>
          <w:tcPr/>
          <w:p>
            <w:pPr>
              <w:pStyle w:val="Compact"/>
              <w:jc w:val="left"/>
            </w:pPr>
            <w:r>
              <w:t xml:space="preserve">Recycled Plastic Inserts</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 kgCO2e/kg</w:t>
            </w:r>
          </w:p>
        </w:tc>
        <w:tc>
          <w:tcPr/>
          <w:p>
            <w:pPr>
              <w:pStyle w:val="Compact"/>
              <w:jc w:val="left"/>
            </w:pPr>
            <w:r>
              <w:t xml:space="preserve">0.015</w:t>
            </w:r>
          </w:p>
        </w:tc>
      </w:tr>
      <w:tr>
        <w:tc>
          <w:tcPr>
            <w:gridSpan w:val="7"/>
          </w:tcPr>
          <w:p>
            <w:pPr>
              <w:pStyle w:val="Compact"/>
              <w:jc w:val="right"/>
            </w:pPr>
            <w:r>
              <w:rPr>
                <w:bCs/>
                <w:b/>
              </w:rPr>
              <w:t xml:space="preserve">Total Material Impact:</w:t>
            </w:r>
          </w:p>
        </w:tc>
        <w:tc>
          <w:tcPr/>
          <w:p>
            <w:pPr>
              <w:pStyle w:val="Compact"/>
              <w:jc w:val="left"/>
            </w:pPr>
            <w:r>
              <w:rPr>
                <w:bCs/>
                <w:b/>
              </w:rPr>
              <w:t xml:space="preserve">2.480 kgCO2e</w:t>
            </w:r>
          </w:p>
        </w:tc>
      </w:tr>
    </w:tbl>
    <w:bookmarkEnd w:id="29"/>
    <w:bookmarkStart w:id="30" w:name="production-phase-energy-inputs"/>
    <w:p>
      <w:pPr>
        <w:pStyle w:val="Heading3"/>
      </w:pPr>
      <w:r>
        <w:t xml:space="preserve">2.2. Production Phase Energy Inputs</w:t>
      </w:r>
    </w:p>
    <w:p>
      <w:pPr>
        <w:pStyle w:val="FirstParagraph"/>
      </w:pPr>
      <w:r>
        <w:t xml:space="preserve">The manufacturing of ffeidgyhmr occurs in China. Energy consumption and its associated emissions are a critical aspect of the production footprint.</w:t>
      </w:r>
    </w:p>
    <w:p>
      <w:pPr>
        <w:numPr>
          <w:ilvl w:val="0"/>
          <w:numId w:val="1003"/>
        </w:numPr>
        <w:pStyle w:val="Compact"/>
      </w:pPr>
      <w:r>
        <w:rPr>
          <w:bCs/>
          <w:b/>
        </w:rPr>
        <w:t xml:space="preserve">Energy Intensity (kWh/unit):</w:t>
      </w:r>
      <w:r>
        <w:t xml:space="preserve"> </w:t>
      </w:r>
      <w:r>
        <w:t xml:space="preserve">ryirvxgjgr (Illustrative: 20 kWh/unit)</w:t>
      </w:r>
    </w:p>
    <w:p>
      <w:pPr>
        <w:numPr>
          <w:ilvl w:val="0"/>
          <w:numId w:val="1003"/>
        </w:numPr>
        <w:pStyle w:val="Compact"/>
      </w:pPr>
      <w:r>
        <w:rPr>
          <w:bCs/>
          <w:b/>
        </w:rPr>
        <w:t xml:space="preserve">Renewable Energy Usage:</w:t>
      </w:r>
      <w:r>
        <w:t xml:space="preserve"> </w:t>
      </w:r>
      <w:r>
        <w:t xml:space="preserve">gewphpgnvk (Illustrative: 50%)</w:t>
      </w:r>
    </w:p>
    <w:p>
      <w:pPr>
        <w:numPr>
          <w:ilvl w:val="0"/>
          <w:numId w:val="1003"/>
        </w:numPr>
        <w:pStyle w:val="Compact"/>
      </w:pPr>
      <w:r>
        <w:rPr>
          <w:bCs/>
          <w:b/>
        </w:rPr>
        <w:t xml:space="preserve">Grid Emission Factor (China):</w:t>
      </w:r>
      <w:r>
        <w:t xml:space="preserve"> </w:t>
      </w:r>
      <w:r>
        <w:t xml:space="preserve">The average grid emission factor for China in 2022 was approximately 0.9096 kg CO2e kWh-1, with some provinces ranging from 0.8005 to 0.9968 kg CO2e kWh-1. Other sources suggest a national average of 0.556 kg CO2e/kWh for 2019/2021. For this analysis, we will use a conservative average of</w:t>
      </w:r>
      <w:r>
        <w:t xml:space="preserve"> </w:t>
      </w:r>
      <w:r>
        <w:rPr>
          <w:bCs/>
          <w:b/>
        </w:rPr>
        <w:t xml:space="preserve">0.7 kgCO2e/kWh</w:t>
      </w:r>
      <w:r>
        <w:t xml:space="preserve"> </w:t>
      </w:r>
      <w:r>
        <w:t xml:space="preserve">to account for the mix and potential for higher carbon intensity depending on the specific region within China.</w:t>
      </w:r>
    </w:p>
    <w:p>
      <w:pPr>
        <w:numPr>
          <w:ilvl w:val="0"/>
          <w:numId w:val="1003"/>
        </w:numPr>
        <w:pStyle w:val="Compact"/>
      </w:pPr>
      <w:r>
        <w:rPr>
          <w:bCs/>
          <w:b/>
        </w:rPr>
        <w:t xml:space="preserve">Emissions from Non-Renewable Energy:</w:t>
      </w:r>
      <w:r>
        <w:t xml:space="preserve"> </w:t>
      </w:r>
      <w:r>
        <w:t xml:space="preserve">(20 kWh/unit) * (1 - 0.50) * (0.7 kgCO2e/kWh) = 7.0 kgCO2e/unit.</w:t>
      </w:r>
    </w:p>
    <w:bookmarkEnd w:id="30"/>
    <w:bookmarkStart w:id="32" w:name="transportation-logistics"/>
    <w:p>
      <w:pPr>
        <w:pStyle w:val="Heading3"/>
      </w:pPr>
      <w:r>
        <w:t xml:space="preserve">2.3. Transportation Logistics</w:t>
      </w:r>
    </w:p>
    <w:p>
      <w:pPr>
        <w:pStyle w:val="FirstParagraph"/>
      </w:pPr>
      <w:r>
        <w:t xml:space="preserve">Transportation encompasses inbound logistics (materials to factory) and outbound logistics (finished product to market, including last-mile delivery).</w:t>
      </w:r>
    </w:p>
    <w:p>
      <w:pPr>
        <w:numPr>
          <w:ilvl w:val="0"/>
          <w:numId w:val="1004"/>
        </w:numPr>
        <w:pStyle w:val="Compact"/>
      </w:pPr>
      <w:r>
        <w:rPr>
          <w:bCs/>
          <w:b/>
        </w:rPr>
        <w:t xml:space="preserve">Transport Mode:</w:t>
      </w:r>
      <w:r>
        <w:t xml:space="preserve"> </w:t>
      </w:r>
      <w:r>
        <w:t xml:space="preserve">Select Mode (Illustrative: Ocean Freight for primary transport, Road Freight for last-mile delivery).</w:t>
      </w:r>
    </w:p>
    <w:p>
      <w:pPr>
        <w:numPr>
          <w:ilvl w:val="0"/>
          <w:numId w:val="1004"/>
        </w:numPr>
        <w:pStyle w:val="Compact"/>
      </w:pPr>
      <w:r>
        <w:rPr>
          <w:bCs/>
          <w:b/>
        </w:rPr>
        <w:t xml:space="preserve">Transport Distance:</w:t>
      </w:r>
      <w:r>
        <w:t xml:space="preserve"> </w:t>
      </w:r>
      <w:r>
        <w:t xml:space="preserve">zgswjvuzdr (Illustrative: 15,000 km for ocean freight from Asia to Europe; 500 km for road freight within Europe).</w:t>
      </w:r>
    </w:p>
    <w:p>
      <w:pPr>
        <w:numPr>
          <w:ilvl w:val="0"/>
          <w:numId w:val="1004"/>
        </w:numPr>
        <w:pStyle w:val="Compact"/>
      </w:pPr>
      <w:r>
        <w:rPr>
          <w:bCs/>
          <w:b/>
        </w:rPr>
        <w:t xml:space="preserve">Last-Mile Delivery Channel:</w:t>
      </w:r>
      <w:r>
        <w:t xml:space="preserve"> </w:t>
      </w:r>
      <w:r>
        <w:t xml:space="preserve">Delivery Type (Illustrative: Van Delivery).</w:t>
      </w:r>
    </w:p>
    <w:p>
      <w:pPr>
        <w:numPr>
          <w:ilvl w:val="0"/>
          <w:numId w:val="1004"/>
        </w:numPr>
        <w:pStyle w:val="Compact"/>
      </w:pPr>
      <w:r>
        <w:rPr>
          <w:bCs/>
          <w:b/>
        </w:rPr>
        <w:t xml:space="preserve">Product Weight:</w:t>
      </w:r>
      <w:r>
        <w:t xml:space="preserve"> </w:t>
      </w:r>
      <w:r>
        <w:t xml:space="preserve">Assuming an average product weight of 0.3 kg (based on BOM components). This includes packaging.</w:t>
      </w:r>
    </w:p>
    <w:p>
      <w:pPr>
        <w:numPr>
          <w:ilvl w:val="0"/>
          <w:numId w:val="1004"/>
        </w:numPr>
        <w:pStyle w:val="Compact"/>
      </w:pPr>
      <w:r>
        <w:rPr>
          <w:bCs/>
          <w:b/>
        </w:rPr>
        <w:t xml:space="preserve">Ocean Freight Emission Factor:</w:t>
      </w:r>
      <w:r>
        <w:t xml:space="preserve"> </w:t>
      </w:r>
      <w:r>
        <w:t xml:space="preserve">Sea freight typically ranges from 10-40 g CO2e/tkm, with container ships averaging 16 gCO2e/tkm (0.016 kgCO2e/tkm). For this analysis, we will use</w:t>
      </w:r>
      <w:r>
        <w:t xml:space="preserve"> </w:t>
      </w:r>
      <w:r>
        <w:rPr>
          <w:bCs/>
          <w:b/>
        </w:rPr>
        <w:t xml:space="preserve">0.016 kgCO2e/tkm</w:t>
      </w:r>
      <w:r>
        <w:t xml:space="preserve">.</w:t>
      </w:r>
    </w:p>
    <w:p>
      <w:pPr>
        <w:numPr>
          <w:ilvl w:val="0"/>
          <w:numId w:val="1004"/>
        </w:numPr>
        <w:pStyle w:val="Compact"/>
      </w:pPr>
      <w:r>
        <w:rPr>
          <w:bCs/>
          <w:b/>
        </w:rPr>
        <w:t xml:space="preserve">Road Freight Emission Factor:</w:t>
      </w:r>
      <w:r>
        <w:t xml:space="preserve"> </w:t>
      </w:r>
      <w:r>
        <w:t xml:space="preserve">Road trucking generally ranges from 50-150 g/tkm. EPA data suggests ~0.41 pounds CO2e per ton-mile (which is approx. 0.21 kg CO2e/ton-mile or 0.13 kgCO2e/tkm) for trucks. For this analysis, we will use</w:t>
      </w:r>
      <w:r>
        <w:t xml:space="preserve"> </w:t>
      </w:r>
      <w:r>
        <w:rPr>
          <w:bCs/>
          <w:b/>
        </w:rPr>
        <w:t xml:space="preserve">0.1 kgCO2e/tkm</w:t>
      </w:r>
      <w:r>
        <w:t xml:space="preserve"> </w:t>
      </w:r>
      <w:r>
        <w:t xml:space="preserve">for average heavy goods vehicles.</w:t>
      </w:r>
    </w:p>
    <w:bookmarkStart w:id="31" w:name="calculated-transport-emissions"/>
    <w:p>
      <w:pPr>
        <w:pStyle w:val="Heading4"/>
      </w:pPr>
      <w:r>
        <w:t xml:space="preserve">Calculated Transport Emissions:</w:t>
      </w:r>
    </w:p>
    <w:p>
      <w:pPr>
        <w:numPr>
          <w:ilvl w:val="0"/>
          <w:numId w:val="1005"/>
        </w:numPr>
        <w:pStyle w:val="Compact"/>
      </w:pPr>
      <w:r>
        <w:rPr>
          <w:bCs/>
          <w:b/>
        </w:rPr>
        <w:t xml:space="preserve">Ocean Freight (Inbound &amp; Outbound, 15,000 km):</w:t>
      </w:r>
      <w:r>
        <w:t xml:space="preserve"> </w:t>
      </w:r>
      <w:r>
        <w:t xml:space="preserve">(0.3 kg/unit * 15,000 km) * (0.016 kgCO2e/tkm / 1000) = 0.0048 kgCO2e/tkm * 15,000 km = 0.072 kgCO2e/unit. (Note: unit is kgCO2e, not kgCO2e/tkm)</w:t>
      </w:r>
      <w:r>
        <w:t xml:space="preserve"> </w:t>
      </w:r>
      <w:r>
        <w:t xml:space="preserve">* Calculation: (0.3 kg/unit) * (15000 km) = 4500 kg.km/unit = 4.5 tkm/unit</w:t>
      </w:r>
      <w:r>
        <w:t xml:space="preserve"> </w:t>
      </w:r>
      <w:r>
        <w:t xml:space="preserve">* Emissions: 4.5 tkm/unit * 0.016 kgCO2e/tkm = 0.072 kgCO2e/unit</w:t>
      </w:r>
    </w:p>
    <w:p>
      <w:pPr>
        <w:numPr>
          <w:ilvl w:val="0"/>
          <w:numId w:val="1005"/>
        </w:numPr>
        <w:pStyle w:val="Compact"/>
      </w:pPr>
      <w:r>
        <w:rPr>
          <w:bCs/>
          <w:b/>
        </w:rPr>
        <w:t xml:space="preserve">Road Freight (Last-Mile, 500 km):</w:t>
      </w:r>
      <w:r>
        <w:t xml:space="preserve"> </w:t>
      </w:r>
      <w:r>
        <w:t xml:space="preserve">(0.3 kg/unit * 500 km) * (0.1 kgCO2e/tkm / 1000) = 0.00015 kgCO2e/tkm * 500 km = 0.075 kgCO2e/unit.</w:t>
      </w:r>
      <w:r>
        <w:t xml:space="preserve"> </w:t>
      </w:r>
      <w:r>
        <w:t xml:space="preserve">* Calculation: (0.3 kg/unit) * (500 km) = 150 kg.km/unit = 0.15 tkm/unit</w:t>
      </w:r>
      <w:r>
        <w:t xml:space="preserve"> </w:t>
      </w:r>
      <w:r>
        <w:t xml:space="preserve">* Emissions: 0.15 tkm/unit * 0.1 kgCO2e/tkm = 0.015 kgCO2e/unit</w:t>
      </w:r>
    </w:p>
    <w:p>
      <w:pPr>
        <w:pStyle w:val="FirstParagraph"/>
      </w:pPr>
      <w:r>
        <w:t xml:space="preserve">Total Transportation Impact: 0.072 + 0.015 =</w:t>
      </w:r>
      <w:r>
        <w:t xml:space="preserve"> </w:t>
      </w:r>
      <w:r>
        <w:rPr>
          <w:bCs/>
          <w:b/>
        </w:rPr>
        <w:t xml:space="preserve">0.087 kgCO2e/unit</w:t>
      </w:r>
    </w:p>
    <w:bookmarkEnd w:id="31"/>
    <w:bookmarkEnd w:id="32"/>
    <w:bookmarkStart w:id="34" w:name="use-phase-data"/>
    <w:p>
      <w:pPr>
        <w:pStyle w:val="Heading3"/>
      </w:pPr>
      <w:r>
        <w:t xml:space="preserve">2.4. Use Phase Data</w:t>
      </w:r>
    </w:p>
    <w:p>
      <w:pPr>
        <w:pStyle w:val="FirstParagraph"/>
      </w:pPr>
      <w:r>
        <w:t xml:space="preserve">The use phase emissions are critical for electronic products.</w:t>
      </w:r>
    </w:p>
    <w:p>
      <w:pPr>
        <w:numPr>
          <w:ilvl w:val="0"/>
          <w:numId w:val="1006"/>
        </w:numPr>
        <w:pStyle w:val="Compact"/>
      </w:pPr>
      <w:r>
        <w:rPr>
          <w:bCs/>
          <w:b/>
        </w:rPr>
        <w:t xml:space="preserve">Product Lifespan:</w:t>
      </w:r>
      <w:r>
        <w:t xml:space="preserve"> </w:t>
      </w:r>
      <w:r>
        <w:t xml:space="preserve">tmezxfrzxm (Illustrative: 5 years)</w:t>
      </w:r>
    </w:p>
    <w:p>
      <w:pPr>
        <w:numPr>
          <w:ilvl w:val="0"/>
          <w:numId w:val="1006"/>
        </w:numPr>
        <w:pStyle w:val="Compact"/>
      </w:pPr>
      <w:r>
        <w:rPr>
          <w:bCs/>
          <w:b/>
        </w:rPr>
        <w:t xml:space="preserve">Energy Consumption in Use:</w:t>
      </w:r>
      <w:r>
        <w:t xml:space="preserve"> </w:t>
      </w:r>
      <w:r>
        <w:t xml:space="preserve">rtglndkwdg (Illustrative: 10 kWh/year)</w:t>
      </w:r>
    </w:p>
    <w:p>
      <w:pPr>
        <w:numPr>
          <w:ilvl w:val="0"/>
          <w:numId w:val="1006"/>
        </w:numPr>
        <w:pStyle w:val="Compact"/>
      </w:pPr>
      <w:r>
        <w:rPr>
          <w:bCs/>
          <w:b/>
        </w:rPr>
        <w:t xml:space="preserve">Grid Emission Factor (Europe Focused):</w:t>
      </w:r>
      <w:r>
        <w:t xml:space="preserve"> </w:t>
      </w:r>
      <w:r>
        <w:t xml:space="preserve">The EU-27 average grid emission factor was approximately 0.2883 kgCO2-eq/kWh in 2021, and 0.254 kgCO2/kWhel in 2020, with a trend of further decline. For this analysis, we will use a conservative average of</w:t>
      </w:r>
      <w:r>
        <w:t xml:space="preserve"> </w:t>
      </w:r>
      <w:r>
        <w:rPr>
          <w:bCs/>
          <w:b/>
        </w:rPr>
        <w:t xml:space="preserve">0.25 kgCO2e/kWh</w:t>
      </w:r>
      <w:r>
        <w:t xml:space="preserve">.</w:t>
      </w:r>
    </w:p>
    <w:bookmarkStart w:id="33" w:name="calculated-use-phase-emissions"/>
    <w:p>
      <w:pPr>
        <w:pStyle w:val="Heading4"/>
      </w:pPr>
      <w:r>
        <w:t xml:space="preserve">Calculated Use Phase Emissions:</w:t>
      </w:r>
    </w:p>
    <w:p>
      <w:pPr>
        <w:pStyle w:val="FirstParagraph"/>
      </w:pPr>
      <w:r>
        <w:t xml:space="preserve">(10 kWh/year) * (5 years) * (0.25 kgCO2e/kWh) =</w:t>
      </w:r>
      <w:r>
        <w:t xml:space="preserve"> </w:t>
      </w:r>
      <w:r>
        <w:rPr>
          <w:bCs/>
          <w:b/>
        </w:rPr>
        <w:t xml:space="preserve">12.5 kgCO2e/unit</w:t>
      </w:r>
    </w:p>
    <w:bookmarkEnd w:id="33"/>
    <w:bookmarkEnd w:id="34"/>
    <w:bookmarkStart w:id="36" w:name="end-of-life-eol-scenarios"/>
    <w:p>
      <w:pPr>
        <w:pStyle w:val="Heading3"/>
      </w:pPr>
      <w:r>
        <w:t xml:space="preserve">2.5. End-of-Life (EoL) Scenarios</w:t>
      </w:r>
    </w:p>
    <w:p>
      <w:pPr>
        <w:pStyle w:val="FirstParagraph"/>
      </w:pPr>
      <w:r>
        <w:t xml:space="preserve">The circularity of the product significantly impacts its overall footprint.</w:t>
      </w:r>
    </w:p>
    <w:p>
      <w:pPr>
        <w:numPr>
          <w:ilvl w:val="0"/>
          <w:numId w:val="1007"/>
        </w:numPr>
        <w:pStyle w:val="Compact"/>
      </w:pPr>
      <w:r>
        <w:rPr>
          <w:bCs/>
          <w:b/>
        </w:rPr>
        <w:t xml:space="preserve">Recyclability Percentage:</w:t>
      </w:r>
      <w:r>
        <w:t xml:space="preserve"> </w:t>
      </w:r>
      <w:r>
        <w:t xml:space="preserve">tremphzetd (Illustrative: 70% of material mass is recyclable, predominantly plastics and metals).</w:t>
      </w:r>
    </w:p>
    <w:p>
      <w:pPr>
        <w:numPr>
          <w:ilvl w:val="0"/>
          <w:numId w:val="1007"/>
        </w:numPr>
        <w:pStyle w:val="Compact"/>
      </w:pPr>
      <w:r>
        <w:rPr>
          <w:bCs/>
          <w:b/>
        </w:rPr>
        <w:t xml:space="preserve">Circular/Take-back Programs:</w:t>
      </w:r>
      <w:r>
        <w:t xml:space="preserve"> </w:t>
      </w:r>
      <w:r>
        <w:t xml:space="preserve">pxghfnpqov (Illustrative: Yes, established take-back program).</w:t>
      </w:r>
    </w:p>
    <w:p>
      <w:pPr>
        <w:numPr>
          <w:ilvl w:val="0"/>
          <w:numId w:val="1007"/>
        </w:numPr>
        <w:pStyle w:val="Compact"/>
      </w:pPr>
      <w:r>
        <w:rPr>
          <w:bCs/>
          <w:b/>
        </w:rPr>
        <w:t xml:space="preserve">EoL Treatment Assumptions:</w:t>
      </w:r>
    </w:p>
    <w:p>
      <w:pPr>
        <w:numPr>
          <w:ilvl w:val="1"/>
          <w:numId w:val="1008"/>
        </w:numPr>
        <w:pStyle w:val="Compact"/>
      </w:pPr>
      <w:r>
        <w:t xml:space="preserve">70% recycled: Credits are applied for avoided virgin material production.</w:t>
      </w:r>
    </w:p>
    <w:p>
      <w:pPr>
        <w:numPr>
          <w:ilvl w:val="1"/>
          <w:numId w:val="1008"/>
        </w:numPr>
        <w:pStyle w:val="Compact"/>
      </w:pPr>
      <w:r>
        <w:t xml:space="preserve">30% landfilled/incinerated: Emissions associated with disposal.</w:t>
      </w:r>
    </w:p>
    <w:p>
      <w:pPr>
        <w:numPr>
          <w:ilvl w:val="0"/>
          <w:numId w:val="1007"/>
        </w:numPr>
        <w:pStyle w:val="Compact"/>
      </w:pPr>
      <w:r>
        <w:rPr>
          <w:bCs/>
          <w:b/>
        </w:rPr>
        <w:t xml:space="preserve">Assumed Recycling Benefits (Illustrative):</w:t>
      </w:r>
    </w:p>
    <w:p>
      <w:pPr>
        <w:numPr>
          <w:ilvl w:val="1"/>
          <w:numId w:val="1009"/>
        </w:numPr>
        <w:pStyle w:val="Compact"/>
      </w:pPr>
      <w:r>
        <w:t xml:space="preserve">Plastics: Recycling plastic can save at least 50% of the emissions compared to virgin production. Avoided emissions can be in the range of 147-1493 kgCO2-eq./t recycled polymer. For illustrative purposes, we assume a net benefit of</w:t>
      </w:r>
      <w:r>
        <w:t xml:space="preserve"> </w:t>
      </w:r>
      <w:r>
        <w:rPr>
          <w:bCs/>
          <w:b/>
        </w:rPr>
        <w:t xml:space="preserve">-1.5 kgCO2e/kg</w:t>
      </w:r>
      <w:r>
        <w:t xml:space="preserve"> </w:t>
      </w:r>
      <w:r>
        <w:t xml:space="preserve">of recycled plastic (avoided emissions).</w:t>
      </w:r>
    </w:p>
    <w:p>
      <w:pPr>
        <w:numPr>
          <w:ilvl w:val="1"/>
          <w:numId w:val="1009"/>
        </w:numPr>
        <w:pStyle w:val="Compact"/>
      </w:pPr>
      <w:r>
        <w:t xml:space="preserve">Metals (Copper, Aluminum): Recycling aluminum avoids 9 tonnes of CO2 per tonne, and copper recycling can reduce CO2 emissions by 65% or save up to 3.5 tons of CO2 per ton. For illustrative purposes, we assume a net benefit of</w:t>
      </w:r>
      <w:r>
        <w:t xml:space="preserve"> </w:t>
      </w:r>
      <w:r>
        <w:rPr>
          <w:bCs/>
          <w:b/>
        </w:rPr>
        <w:t xml:space="preserve">-4.0 kgCO2e/kg</w:t>
      </w:r>
      <w:r>
        <w:t xml:space="preserve"> </w:t>
      </w:r>
      <w:r>
        <w:t xml:space="preserve">of recycled metal (avoided emissions).</w:t>
      </w:r>
    </w:p>
    <w:p>
      <w:pPr>
        <w:numPr>
          <w:ilvl w:val="0"/>
          <w:numId w:val="1007"/>
        </w:numPr>
        <w:pStyle w:val="Compact"/>
      </w:pPr>
      <w:r>
        <w:rPr>
          <w:bCs/>
          <w:b/>
        </w:rPr>
        <w:t xml:space="preserve">Assumed Disposal Emissions (Illustrative):</w:t>
      </w:r>
    </w:p>
    <w:p>
      <w:pPr>
        <w:numPr>
          <w:ilvl w:val="1"/>
          <w:numId w:val="1010"/>
        </w:numPr>
        <w:pStyle w:val="Compact"/>
      </w:pPr>
      <w:r>
        <w:t xml:space="preserve">Landfill/Incineration (mixed waste): A general factor of</w:t>
      </w:r>
      <w:r>
        <w:t xml:space="preserve"> </w:t>
      </w:r>
      <w:r>
        <w:rPr>
          <w:bCs/>
          <w:b/>
        </w:rPr>
        <w:t xml:space="preserve">0.05 kgCO2e/kg</w:t>
      </w:r>
      <w:r>
        <w:t xml:space="preserve"> </w:t>
      </w:r>
      <w:r>
        <w:t xml:space="preserve">for residual waste.</w:t>
      </w:r>
    </w:p>
    <w:p>
      <w:pPr>
        <w:numPr>
          <w:ilvl w:val="0"/>
          <w:numId w:val="1007"/>
        </w:numPr>
        <w:pStyle w:val="Compact"/>
      </w:pPr>
      <w:r>
        <w:rPr>
          <w:bCs/>
          <w:b/>
        </w:rPr>
        <w:t xml:space="preserve">Total Product Mass:</w:t>
      </w:r>
      <w:r>
        <w:t xml:space="preserve"> </w:t>
      </w:r>
      <w:r>
        <w:t xml:space="preserve">Sum of material quantities from BOM = 0.15 + 1*(mass of PCB, MCU, Sensors) + 0.05 + 0.02 + 0.03 + 0.08 + 0.01 = 0.34 kg (excluding component masses for PCB, MCU, Sensors, which are given in units). Assuming average component mass for electronics (PCB ~50g, MCU ~10g, Sensors ~5g each):</w:t>
      </w:r>
      <w:r>
        <w:t xml:space="preserve"> </w:t>
      </w:r>
      <w:r>
        <w:t xml:space="preserve">* Total mass (excluding packaging): 0.15 (plastic) + 0.05 (battery) + 0.02 (copper) + 0.03 (aluminium) + 0.05 (PCB) + 0.01 (MCU) + 3*0.005 (sensors) + 0.01 (recycled plastic) = 0.33 kg.</w:t>
      </w:r>
      <w:r>
        <w:t xml:space="preserve"> </w:t>
      </w:r>
      <w:r>
        <w:t xml:space="preserve">* Packaging mass: 0.08 kg.</w:t>
      </w:r>
      <w:r>
        <w:t xml:space="preserve"> </w:t>
      </w:r>
      <w:r>
        <w:t xml:space="preserve">* Total product mass for EoL consideration: 0.33 kg (product) + 0.08 kg (packaging) = 0.41 kg.</w:t>
      </w:r>
    </w:p>
    <w:p>
      <w:pPr>
        <w:numPr>
          <w:ilvl w:val="0"/>
          <w:numId w:val="1007"/>
        </w:numPr>
        <w:pStyle w:val="Compact"/>
      </w:pPr>
      <w:r>
        <w:rPr>
          <w:bCs/>
          <w:b/>
        </w:rPr>
        <w:t xml:space="preserve">Mass Recycled:</w:t>
      </w:r>
      <w:r>
        <w:t xml:space="preserve"> </w:t>
      </w:r>
      <w:r>
        <w:t xml:space="preserve">0.41 kg * 70% = 0.287 kg</w:t>
      </w:r>
    </w:p>
    <w:p>
      <w:pPr>
        <w:numPr>
          <w:ilvl w:val="0"/>
          <w:numId w:val="1007"/>
        </w:numPr>
        <w:pStyle w:val="Compact"/>
      </w:pPr>
      <w:r>
        <w:rPr>
          <w:bCs/>
          <w:b/>
        </w:rPr>
        <w:t xml:space="preserve">Mass Disposed:</w:t>
      </w:r>
      <w:r>
        <w:t xml:space="preserve"> </w:t>
      </w:r>
      <w:r>
        <w:t xml:space="preserve">0.41 kg * 30% = 0.123 kg</w:t>
      </w:r>
    </w:p>
    <w:bookmarkStart w:id="35" w:name="calculated-end-of-life-impacts"/>
    <w:p>
      <w:pPr>
        <w:pStyle w:val="Heading4"/>
      </w:pPr>
      <w:r>
        <w:t xml:space="preserve">Calculated End-of-Life Impacts:</w:t>
      </w:r>
    </w:p>
    <w:p>
      <w:pPr>
        <w:pStyle w:val="FirstParagraph"/>
      </w:pPr>
      <w:r>
        <w:t xml:space="preserve">For simplicity in this illustrative example, we will consider the average avoided burden per kg for the recyclable portion and emissions per kg for the disposed portion. Assuming a mix of plastics and metals in the recycled portion, and mixed waste for disposal.</w:t>
      </w:r>
    </w:p>
    <w:p>
      <w:pPr>
        <w:numPr>
          <w:ilvl w:val="0"/>
          <w:numId w:val="1011"/>
        </w:numPr>
        <w:pStyle w:val="Compact"/>
      </w:pPr>
      <w:r>
        <w:rPr>
          <w:bCs/>
          <w:b/>
        </w:rPr>
        <w:t xml:space="preserve">Recycling Credit:</w:t>
      </w:r>
      <w:r>
        <w:t xml:space="preserve"> </w:t>
      </w:r>
      <w:r>
        <w:t xml:space="preserve">(0.287 kg) * (average recycling benefit, e.g., -2.5 kgCO2e/kg for mixed recyclables) =</w:t>
      </w:r>
      <w:r>
        <w:t xml:space="preserve"> </w:t>
      </w:r>
      <w:r>
        <w:rPr>
          <w:bCs/>
          <w:b/>
        </w:rPr>
        <w:t xml:space="preserve">-0.7175 kgCO2e/unit</w:t>
      </w:r>
    </w:p>
    <w:p>
      <w:pPr>
        <w:numPr>
          <w:ilvl w:val="0"/>
          <w:numId w:val="1011"/>
        </w:numPr>
        <w:pStyle w:val="Compact"/>
      </w:pPr>
      <w:r>
        <w:rPr>
          <w:bCs/>
          <w:b/>
        </w:rPr>
        <w:t xml:space="preserve">Disposal Emissions:</w:t>
      </w:r>
      <w:r>
        <w:t xml:space="preserve"> </w:t>
      </w:r>
      <w:r>
        <w:t xml:space="preserve">(0.123 kg) * (0.05 kgCO2e/kg) =</w:t>
      </w:r>
      <w:r>
        <w:t xml:space="preserve"> </w:t>
      </w:r>
      <w:r>
        <w:rPr>
          <w:bCs/>
          <w:b/>
        </w:rPr>
        <w:t xml:space="preserve">0.00615 kgCO2e/unit</w:t>
      </w:r>
    </w:p>
    <w:p>
      <w:pPr>
        <w:pStyle w:val="FirstParagraph"/>
      </w:pPr>
      <w:r>
        <w:t xml:space="preserve">Total End-of-Life Impact: -0.7175 + 0.00615 =</w:t>
      </w:r>
      <w:r>
        <w:t xml:space="preserve"> </w:t>
      </w:r>
      <w:r>
        <w:rPr>
          <w:bCs/>
          <w:b/>
        </w:rPr>
        <w:t xml:space="preserve">-0.71135 kgCO2e/unit</w:t>
      </w:r>
      <w:r>
        <w:t xml:space="preserve"> </w:t>
      </w:r>
      <w:r>
        <w:t xml:space="preserve">(Net credit)</w:t>
      </w:r>
    </w:p>
    <w:bookmarkEnd w:id="35"/>
    <w:bookmarkEnd w:id="36"/>
    <w:bookmarkEnd w:id="37"/>
    <w:p>
      <w:r>
        <w:pict>
          <v:rect style="width:0;height:1.5pt" o:hralign="center" o:hrstd="t" o:hr="t"/>
        </w:pict>
      </w:r>
    </w:p>
    <w:bookmarkStart w:id="41" w:name="Xdd1c2ba429305467bad58a0828410d9d0fce25c"/>
    <w:p>
      <w:pPr>
        <w:pStyle w:val="Heading2"/>
      </w:pPr>
      <w:r>
        <w:t xml:space="preserve">4. Emissions Calculation (Activity * Emission Factor = CO2e)</w:t>
      </w:r>
    </w:p>
    <w:p>
      <w:pPr>
        <w:pStyle w:val="FirstParagraph"/>
      </w:pPr>
      <w:r>
        <w:t xml:space="preserve">Based on the collected and illustrative data, the emissions for each lifecycle stage are calculated and categorized according to the GHG Protocol.</w:t>
      </w:r>
    </w:p>
    <w:bookmarkStart w:id="38" w:name="summary-of-emissions-by-lifecycle-stage"/>
    <w:p>
      <w:pPr>
        <w:pStyle w:val="Heading3"/>
      </w:pPr>
      <w:r>
        <w:t xml:space="preserve">4.1. Summary of Emissions by Lifecycle Stage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Materials Acquisition &amp; Pre-processing</w:t>
            </w:r>
          </w:p>
        </w:tc>
        <w:tc>
          <w:tcPr/>
          <w:p>
            <w:pPr>
              <w:pStyle w:val="Compact"/>
              <w:jc w:val="left"/>
            </w:pPr>
            <w:r>
              <w:t xml:space="preserve">2.480</w:t>
            </w:r>
          </w:p>
        </w:tc>
      </w:tr>
      <w:tr>
        <w:tc>
          <w:tcPr/>
          <w:p>
            <w:pPr>
              <w:pStyle w:val="Compact"/>
              <w:jc w:val="left"/>
            </w:pPr>
            <w:r>
              <w:t xml:space="preserve">Manufacturing</w:t>
            </w:r>
          </w:p>
        </w:tc>
        <w:tc>
          <w:tcPr/>
          <w:p>
            <w:pPr>
              <w:pStyle w:val="Compact"/>
              <w:jc w:val="left"/>
            </w:pPr>
            <w:r>
              <w:t xml:space="preserve">7.000</w:t>
            </w:r>
          </w:p>
        </w:tc>
      </w:tr>
      <w:tr>
        <w:tc>
          <w:tcPr/>
          <w:p>
            <w:pPr>
              <w:pStyle w:val="Compact"/>
              <w:jc w:val="left"/>
            </w:pPr>
            <w:r>
              <w:t xml:space="preserve">Transportation</w:t>
            </w:r>
          </w:p>
        </w:tc>
        <w:tc>
          <w:tcPr/>
          <w:p>
            <w:pPr>
              <w:pStyle w:val="Compact"/>
              <w:jc w:val="left"/>
            </w:pPr>
            <w:r>
              <w:t xml:space="preserve">0.087</w:t>
            </w:r>
          </w:p>
        </w:tc>
      </w:tr>
      <w:tr>
        <w:tc>
          <w:tcPr/>
          <w:p>
            <w:pPr>
              <w:pStyle w:val="Compact"/>
              <w:jc w:val="left"/>
            </w:pPr>
            <w:r>
              <w:t xml:space="preserve">Use Phase</w:t>
            </w:r>
          </w:p>
        </w:tc>
        <w:tc>
          <w:tcPr/>
          <w:p>
            <w:pPr>
              <w:pStyle w:val="Compact"/>
              <w:jc w:val="left"/>
            </w:pPr>
            <w:r>
              <w:t xml:space="preserve">12.500</w:t>
            </w:r>
          </w:p>
        </w:tc>
      </w:tr>
      <w:tr>
        <w:tc>
          <w:tcPr/>
          <w:p>
            <w:pPr>
              <w:pStyle w:val="Compact"/>
              <w:jc w:val="left"/>
            </w:pPr>
            <w:r>
              <w:t xml:space="preserve">End-of-Life</w:t>
            </w:r>
          </w:p>
        </w:tc>
        <w:tc>
          <w:tcPr/>
          <w:p>
            <w:pPr>
              <w:pStyle w:val="Compact"/>
              <w:jc w:val="left"/>
            </w:pPr>
            <w:r>
              <w:t xml:space="preserve">-0.711</w:t>
            </w:r>
          </w:p>
        </w:tc>
      </w:tr>
      <w:tr>
        <w:tc>
          <w:tcPr/>
          <w:p>
            <w:pPr>
              <w:pStyle w:val="Compact"/>
              <w:jc w:val="right"/>
            </w:pPr>
            <w:r>
              <w:rPr>
                <w:bCs/>
                <w:b/>
              </w:rPr>
              <w:t xml:space="preserve">Total Product Carbon Footprint:</w:t>
            </w:r>
          </w:p>
        </w:tc>
        <w:tc>
          <w:tcPr/>
          <w:p>
            <w:pPr>
              <w:pStyle w:val="Compact"/>
              <w:jc w:val="left"/>
            </w:pPr>
            <w:r>
              <w:rPr>
                <w:bCs/>
                <w:b/>
              </w:rPr>
              <w:t xml:space="preserve">21.356 kgCO2e/unit</w:t>
            </w:r>
          </w:p>
        </w:tc>
      </w:tr>
    </w:tbl>
    <w:bookmarkEnd w:id="38"/>
    <w:bookmarkStart w:id="39" w:name="ghg-protocol-scopes-breakdown"/>
    <w:p>
      <w:pPr>
        <w:pStyle w:val="Heading3"/>
      </w:pPr>
      <w:r>
        <w:t xml:space="preserve">4.2. GHG Protocol Scopes Breakdown</w:t>
      </w:r>
    </w:p>
    <w:p>
      <w:pPr>
        <w:pStyle w:val="FirstParagraph"/>
      </w:pPr>
      <w:r>
        <w:t xml:space="preserve">For a product PCF, the majority of emissions typically fall under Scope 3 for the reporting company (vlzuwvmwxx), as it accounts for upstream and downstream value chain emissions. Assuming vlzuwvmwxx is the product manufacturer:</w:t>
      </w:r>
    </w:p>
    <w:p>
      <w:pPr>
        <w:numPr>
          <w:ilvl w:val="0"/>
          <w:numId w:val="1012"/>
        </w:numPr>
      </w:pPr>
      <w:r>
        <w:rPr>
          <w:bCs/>
          <w:b/>
        </w:rPr>
        <w:t xml:space="preserve">Scope 1: Direct Emissions</w:t>
      </w:r>
    </w:p>
    <w:p>
      <w:pPr>
        <w:numPr>
          <w:ilvl w:val="0"/>
          <w:numId w:val="1000"/>
        </w:numPr>
      </w:pPr>
      <w:r>
        <w:t xml:space="preserve">These typically include emissions from company-owned or controlled combustion sources at the manufacturing facility (e.g., boilers, company vehicles). For this illustrative product, assuming no direct fossil fuel combustion in manufacturing and limited company vehicle use directly attributable to this product\'s manufacturing, Scope 1 emissions are assumed to be negligible or covered by Scope 2 for purchased electricity.</w:t>
      </w:r>
    </w:p>
    <w:p>
      <w:pPr>
        <w:numPr>
          <w:ilvl w:val="0"/>
          <w:numId w:val="1000"/>
        </w:numPr>
      </w:pPr>
      <w:r>
        <w:rPr>
          <w:bCs/>
          <w:b/>
        </w:rPr>
        <w:t xml:space="preserve">Illustrative Scope 1: 0.0 kgCO2e/unit</w:t>
      </w:r>
    </w:p>
    <w:p>
      <w:pPr>
        <w:numPr>
          <w:ilvl w:val="0"/>
          <w:numId w:val="1012"/>
        </w:numPr>
      </w:pPr>
      <w:r>
        <w:rPr>
          <w:bCs/>
          <w:b/>
        </w:rPr>
        <w:t xml:space="preserve">Scope 2: Purchased Energy Emissions</w:t>
      </w:r>
    </w:p>
    <w:p>
      <w:pPr>
        <w:numPr>
          <w:ilvl w:val="0"/>
          <w:numId w:val="1000"/>
        </w:numPr>
      </w:pPr>
      <w:r>
        <w:t xml:space="preserve">These are indirect emissions from the generation of purchased electricity consumed by vlzuwvmwxx during the manufacturing phase.</w:t>
      </w:r>
    </w:p>
    <w:p>
      <w:pPr>
        <w:numPr>
          <w:ilvl w:val="0"/>
          <w:numId w:val="1000"/>
        </w:numPr>
      </w:pPr>
      <w:r>
        <w:rPr>
          <w:bCs/>
          <w:b/>
        </w:rPr>
        <w:t xml:space="preserve">Manufacturing Emissions (from purchased non-renewable electricity): 7.0 kgCO2e/unit</w:t>
      </w:r>
    </w:p>
    <w:p>
      <w:pPr>
        <w:numPr>
          <w:ilvl w:val="0"/>
          <w:numId w:val="1000"/>
        </w:numPr>
      </w:pPr>
      <w:r>
        <w:rPr>
          <w:bCs/>
          <w:b/>
        </w:rPr>
        <w:t xml:space="preserve">Illustrative Scope 2: 7.0 kgCO2e/unit</w:t>
      </w:r>
    </w:p>
    <w:p>
      <w:pPr>
        <w:numPr>
          <w:ilvl w:val="0"/>
          <w:numId w:val="1012"/>
        </w:numPr>
      </w:pPr>
      <w:r>
        <w:rPr>
          <w:bCs/>
          <w:b/>
        </w:rPr>
        <w:t xml:space="preserve">Scope 3: Value Chain Emissions</w:t>
      </w:r>
    </w:p>
    <w:p>
      <w:pPr>
        <w:numPr>
          <w:ilvl w:val="0"/>
          <w:numId w:val="1000"/>
        </w:numPr>
      </w:pPr>
      <w:r>
        <w:t xml:space="preserve">This category covers all other indirect emissions both upstream and downstream. This forms the bulk of a product\'s footprint.</w:t>
      </w:r>
    </w:p>
    <w:p>
      <w:pPr>
        <w:numPr>
          <w:ilvl w:val="1"/>
          <w:numId w:val="1013"/>
        </w:numPr>
        <w:pStyle w:val="Compact"/>
      </w:pPr>
      <w:r>
        <w:rPr>
          <w:bCs/>
          <w:b/>
        </w:rPr>
        <w:t xml:space="preserve">Upstream Scope 3:</w:t>
      </w:r>
    </w:p>
    <w:p>
      <w:pPr>
        <w:numPr>
          <w:ilvl w:val="2"/>
          <w:numId w:val="1014"/>
        </w:numPr>
        <w:pStyle w:val="Compact"/>
      </w:pPr>
      <w:r>
        <w:t xml:space="preserve">Materials Acquisition &amp; Pre-processing: 2.480 kgCO2e/unit</w:t>
      </w:r>
    </w:p>
    <w:p>
      <w:pPr>
        <w:numPr>
          <w:ilvl w:val="2"/>
          <w:numId w:val="1014"/>
        </w:numPr>
        <w:pStyle w:val="Compact"/>
      </w:pPr>
      <w:r>
        <w:t xml:space="preserve">Transportation (Inbound to factory): Included in total transportation (a portion of 0.072 kgCO2e/unit)</w:t>
      </w:r>
    </w:p>
    <w:p>
      <w:pPr>
        <w:numPr>
          <w:ilvl w:val="1"/>
          <w:numId w:val="1013"/>
        </w:numPr>
        <w:pStyle w:val="Compact"/>
      </w:pPr>
      <w:r>
        <w:rPr>
          <w:bCs/>
          <w:b/>
        </w:rPr>
        <w:t xml:space="preserve">Downstream Scope 3:</w:t>
      </w:r>
    </w:p>
    <w:p>
      <w:pPr>
        <w:numPr>
          <w:ilvl w:val="2"/>
          <w:numId w:val="1015"/>
        </w:numPr>
        <w:pStyle w:val="Compact"/>
      </w:pPr>
      <w:r>
        <w:t xml:space="preserve">Transportation (Outbound to customer, including last-mile): Included in total transportation (a portion of 0.015 kgCO2e/unit)</w:t>
      </w:r>
    </w:p>
    <w:p>
      <w:pPr>
        <w:numPr>
          <w:ilvl w:val="2"/>
          <w:numId w:val="1015"/>
        </w:numPr>
        <w:pStyle w:val="Compact"/>
      </w:pPr>
      <w:r>
        <w:t xml:space="preserve">Use Phase: 12.500 kgCO2e/unit</w:t>
      </w:r>
    </w:p>
    <w:p>
      <w:pPr>
        <w:numPr>
          <w:ilvl w:val="2"/>
          <w:numId w:val="1015"/>
        </w:numPr>
        <w:pStyle w:val="Compact"/>
      </w:pPr>
      <w:r>
        <w:t xml:space="preserve">End-of-Life Treatment: -0.711 kgCO2e/unit</w:t>
      </w:r>
    </w:p>
    <w:p>
      <w:pPr>
        <w:numPr>
          <w:ilvl w:val="0"/>
          <w:numId w:val="1000"/>
        </w:numPr>
      </w:pPr>
      <w:r>
        <w:rPr>
          <w:bCs/>
          <w:b/>
        </w:rPr>
        <w:t xml:space="preserve">Illustrative Scope 3 Total:</w:t>
      </w:r>
      <w:r>
        <w:t xml:space="preserve"> </w:t>
      </w:r>
      <w:r>
        <w:t xml:space="preserve">2.480 (Materials) + 0.087 (Transportation) + 12.500 (Use Phase) - 0.711 (EoL) =</w:t>
      </w:r>
      <w:r>
        <w:t xml:space="preserve"> </w:t>
      </w:r>
      <w:r>
        <w:rPr>
          <w:bCs/>
          <w:b/>
        </w:rPr>
        <w:t xml:space="preserve">14.356 kgCO2e/unit</w:t>
      </w:r>
    </w:p>
    <w:bookmarkEnd w:id="39"/>
    <w:bookmarkStart w:id="40" w:name="lsr-update-land-sector-and-removals"/>
    <w:p>
      <w:pPr>
        <w:pStyle w:val="Heading3"/>
      </w:pPr>
      <w:r>
        <w:t xml:space="preserve">4.3. 2026 LSR Update (Land Sector and Removals)</w:t>
      </w:r>
    </w:p>
    <w:p>
      <w:pPr>
        <w:pStyle w:val="FirstParagraph"/>
      </w:pPr>
      <w:r>
        <w:t xml:space="preserve">The LSR Standard for land use and carbon removals would typically apply if the product lifecycle directly involved land-use change, biogenic carbon, or carbon removal activities (e.g., bio-based materials from specific forestry, or direct air capture for manufacturing processes). For the illustrative product ffeidgyhmr (a smart sensor unit), direct land-use change emissions or significant biogenic carbon flows are not a primary driver unless its components (e.g., bio-plastics) were explicitly linked to such activities. In this analysis, the recycled plastic inserts (0.01 kg) could potentially have some biogenic carbon if they originated from bio-based plastics, but for simplicity, they are treated as conventional plastic in terms of emission factors for a generic product. If detailed LSR data were available for specific materials, these would be quantified and reported as removals or emissions within the relevant scope.</w:t>
      </w:r>
    </w:p>
    <w:p>
      <w:pPr>
        <w:pStyle w:val="BodyText"/>
      </w:pPr>
      <w:r>
        <w:rPr>
          <w:bCs/>
          <w:b/>
        </w:rPr>
        <w:t xml:space="preserve">LSR Impact:</w:t>
      </w:r>
      <w:r>
        <w:t xml:space="preserve"> </w:t>
      </w:r>
      <w:r>
        <w:t xml:space="preserve">Negligible / Not explicitly quantified in this illustrative example due to lack of specific data for a generic electronic product\'s components. If, for instance, packaging was made of certified sustainable wood, relevant carbon sequestration would be accounted for here.</w:t>
      </w:r>
    </w:p>
    <w:bookmarkEnd w:id="40"/>
    <w:bookmarkEnd w:id="41"/>
    <w:p>
      <w:r>
        <w:pict>
          <v:rect style="width:0;height:1.5pt" o:hralign="center" o:hrstd="t" o:hr="t"/>
        </w:pict>
      </w:r>
    </w:p>
    <w:bookmarkStart w:id="44" w:name="review-report"/>
    <w:p>
      <w:pPr>
        <w:pStyle w:val="Heading2"/>
      </w:pPr>
      <w:r>
        <w:t xml:space="preserve">5. Review &amp; Report</w:t>
      </w:r>
    </w:p>
    <w:bookmarkStart w:id="42" w:name="hotspot-identification"/>
    <w:p>
      <w:pPr>
        <w:pStyle w:val="Heading3"/>
      </w:pPr>
      <w:r>
        <w:t xml:space="preserve">5.1. Hotspot Identification</w:t>
      </w:r>
    </w:p>
    <w:p>
      <w:pPr>
        <w:pStyle w:val="FirstParagraph"/>
      </w:pPr>
      <w:r>
        <w:t xml:space="preserve">Based on the analysis, the primary environmental hotspots for ffeidgyhmr are:</w:t>
      </w:r>
    </w:p>
    <w:p>
      <w:pPr>
        <w:numPr>
          <w:ilvl w:val="0"/>
          <w:numId w:val="1016"/>
        </w:numPr>
        <w:pStyle w:val="Compact"/>
      </w:pPr>
      <w:r>
        <w:rPr>
          <w:bCs/>
          <w:b/>
        </w:rPr>
        <w:t xml:space="preserve">Use Phase (12.500 kgCO2e/unit):</w:t>
      </w:r>
      <w:r>
        <w:t xml:space="preserve"> </w:t>
      </w:r>
      <w:r>
        <w:t xml:space="preserve">This constitutes the largest portion of the PCF (approx. 58.5%). The energy consumption of the device during its lifespan, combined with the carbon intensity of the European electricity grid, is a significant contributor.</w:t>
      </w:r>
    </w:p>
    <w:p>
      <w:pPr>
        <w:numPr>
          <w:ilvl w:val="0"/>
          <w:numId w:val="1016"/>
        </w:numPr>
        <w:pStyle w:val="Compact"/>
      </w:pPr>
      <w:r>
        <w:rPr>
          <w:bCs/>
          <w:b/>
        </w:rPr>
        <w:t xml:space="preserve">Manufacturing (7.000 kgCO2e/unit):</w:t>
      </w:r>
      <w:r>
        <w:t xml:space="preserve"> </w:t>
      </w:r>
      <w:r>
        <w:t xml:space="preserve">This is the second largest hotspot (approx. 32.8%), primarily driven by the energy intensity of production in China and the carbon footprint of the Chinese electricity grid, even with 50% renewable energy usage.</w:t>
      </w:r>
    </w:p>
    <w:p>
      <w:pPr>
        <w:numPr>
          <w:ilvl w:val="0"/>
          <w:numId w:val="1016"/>
        </w:numPr>
        <w:pStyle w:val="Compact"/>
      </w:pPr>
      <w:r>
        <w:rPr>
          <w:bCs/>
          <w:b/>
        </w:rPr>
        <w:t xml:space="preserve">Materials Acquisition (2.480 kgCO2e/unit):</w:t>
      </w:r>
      <w:r>
        <w:t xml:space="preserve"> </w:t>
      </w:r>
      <w:r>
        <w:t xml:space="preserve">While smaller than use phase and manufacturing, the impact of raw materials, particularly the Lithium-ion battery (0.750 kgCO2e), indicates that material selection plays a notable role.</w:t>
      </w:r>
    </w:p>
    <w:bookmarkEnd w:id="42"/>
    <w:bookmarkStart w:id="43" w:name="reliability-and-limitations"/>
    <w:p>
      <w:pPr>
        <w:pStyle w:val="Heading3"/>
      </w:pPr>
      <w:r>
        <w:t xml:space="preserve">5.2. Reliability and Limitations</w:t>
      </w:r>
    </w:p>
    <w:p>
      <w:pPr>
        <w:pStyle w:val="FirstParagraph"/>
      </w:pPr>
      <w:r>
        <w:t xml:space="preserve">The reliability of this report is directly influenced by the quality and specificity of the input data.</w:t>
      </w:r>
    </w:p>
    <w:p>
      <w:pPr>
        <w:numPr>
          <w:ilvl w:val="0"/>
          <w:numId w:val="1017"/>
        </w:numPr>
        <w:pStyle w:val="Compact"/>
      </w:pPr>
      <w:r>
        <w:rPr>
          <w:bCs/>
          <w:b/>
        </w:rPr>
        <w:t xml:space="preserve">Illustrative Data:</w:t>
      </w:r>
      <w:r>
        <w:t xml:space="preserve"> </w:t>
      </w:r>
      <w:r>
        <w:t xml:space="preserve">A key limitation is the use of illustrative data for parameters such as the Detailed BOM (`mxlhhslh`), Transport Mode (`Select Mode`), Transport Distance (`zgswjvuzdr`), Last-Mile Delivery Channel (`Delivery Type`), Renewable Energy Usage (`gewphpgnvk`), Energy Intensity (`ryirvxgjgr`), Product Lifespan (`tmezxfrzxm`), Energy Consumption in Use (`rtglndkwdg`), and Recyclability Percentage (`tremphzetd`), as well as the specific details of Circular/Take-back Programs (`pxghfnpqov`). While representative industry averages and plausible scenarios have been applied, actual figures from vlzuwvmwxx would provide a more precise and accurate PCF.</w:t>
      </w:r>
    </w:p>
    <w:p>
      <w:pPr>
        <w:numPr>
          <w:ilvl w:val="0"/>
          <w:numId w:val="1017"/>
        </w:numPr>
        <w:pStyle w:val="Compact"/>
      </w:pPr>
      <w:r>
        <w:rPr>
          <w:bCs/>
          <w:b/>
        </w:rPr>
        <w:t xml:space="preserve">Emission Factors:</w:t>
      </w:r>
      <w:r>
        <w:t xml:space="preserve"> </w:t>
      </w:r>
      <w:r>
        <w:t xml:space="preserve">Industry-standard emission factors (e.g., from Ecoinvent/DEFRA equivalents) have been used conceptually. Actual data from suppliers (primary data) would enhance accuracy.</w:t>
      </w:r>
    </w:p>
    <w:p>
      <w:pPr>
        <w:numPr>
          <w:ilvl w:val="0"/>
          <w:numId w:val="1017"/>
        </w:numPr>
        <w:pStyle w:val="Compact"/>
      </w:pPr>
      <w:r>
        <w:rPr>
          <w:bCs/>
          <w:b/>
        </w:rPr>
        <w:t xml:space="preserve">System Boundary Contradiction:</w:t>
      </w:r>
      <w:r>
        <w:t xml:space="preserve"> </w:t>
      </w:r>
      <w:r>
        <w:t xml:space="preserve">The initial parameter of "factory_gate" was overridden by the detailed requirements for "Use Phase" and "End-of-Life," leading to a cradle-to-grave analysis. This was necessary to fulfill all reporting requirements but notes a divergence from the initial single parameter.</w:t>
      </w:r>
    </w:p>
    <w:p>
      <w:pPr>
        <w:numPr>
          <w:ilvl w:val="0"/>
          <w:numId w:val="1017"/>
        </w:numPr>
        <w:pStyle w:val="Compact"/>
      </w:pPr>
      <w:r>
        <w:rPr>
          <w:bCs/>
          <w:b/>
        </w:rPr>
        <w:t xml:space="preserve">LSR Standard:</w:t>
      </w:r>
      <w:r>
        <w:t xml:space="preserve"> </w:t>
      </w:r>
      <w:r>
        <w:t xml:space="preserve">While the 2026 LSR Standard is acknowledged, its specific quantification is limited by the generic nature of the product and lack of detailed land-use impact data for its components.</w:t>
      </w:r>
    </w:p>
    <w:p>
      <w:pPr>
        <w:pStyle w:val="FirstParagraph"/>
      </w:pPr>
      <w:r>
        <w:rPr>
          <w:bCs/>
          <w:b/>
        </w:rPr>
        <w:t xml:space="preserve">Recommendations:</w:t>
      </w:r>
      <w:r>
        <w:t xml:space="preserve"> </w:t>
      </w:r>
      <w:r>
        <w:t xml:space="preserve">To enhance the accuracy and robustness of future PCF analyses, vlzuwvmwxx should prioritize collecting primary data for its actual Bill of Materials, specific energy consumption at facilities, precise transportation routes and modes, and actual end-of-life recovery rates for ffeidgyhmr. Engagement with the supply chain to gather product-specific emission factors is highly recommended.</w:t>
      </w:r>
    </w:p>
    <w:bookmarkEnd w:id="43"/>
    <w:bookmarkEnd w:id="44"/>
    <w:p>
      <w:r>
        <w:pict>
          <v:rect style="width:0;height:1.5pt" o:hralign="center" o:hrstd="t" o:hr="t"/>
        </w:pict>
      </w:r>
    </w:p>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ffeidgyhmr - vlzuwvmwxx</dc:title>
  <dc:creator/>
  <dc:description>High-detail Product Carbon Footprint (PCF) analysis for ffeidgyhmr, performed by lstxwhtjnx for vlzuwvmwxx, adhering to GHG Protocol and 2026 LSR update.</dc:description>
  <dc:language>en</dc:language>
  <cp:keywords/>
  <dcterms:created xsi:type="dcterms:W3CDTF">2026-07-15T01:04:01Z</dcterms:created>
  <dcterms:modified xsi:type="dcterms:W3CDTF">2026-07-15T01:04:01Z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