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fejwdnidwx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fejwdnidwx</w:t>
      </w:r>
    </w:p>
    <w:p>
      <w:pPr>
        <w:pStyle w:val="BodyText"/>
      </w:pPr>
      <w:r>
        <w:rPr>
          <w:bCs/>
          <w:b/>
        </w:rPr>
        <w:t xml:space="preserve">Name of the Company:</w:t>
      </w:r>
      <w:r>
        <w:t xml:space="preserve"> </w:t>
      </w:r>
      <w:r>
        <w:t xml:space="preserve">ojxwgspvfk</w:t>
      </w:r>
    </w:p>
    <w:p>
      <w:pPr>
        <w:pStyle w:val="BodyText"/>
      </w:pPr>
      <w:r>
        <w:rPr>
          <w:bCs/>
          <w:b/>
        </w:rPr>
        <w:t xml:space="preserve">Senior Sustainability Consultant:</w:t>
      </w:r>
      <w:r>
        <w:t xml:space="preserve"> </w:t>
      </w:r>
      <w:r>
        <w:t xml:space="preserve">htzxqdnqrd</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incorporating illustrative data where specific inputs were indicated by placeholders.</w:t>
      </w:r>
      <w:r>
        <w:t xml:space="preserve"> </w:t>
      </w:r>
      <w:r>
        <w:t xml:space="preserve">While every effort has been made to ensure accuracy based on the provided parameters,</w:t>
      </w:r>
      <w:r>
        <w:t xml:space="preserve"> </w:t>
      </w:r>
      <w:r>
        <w:t xml:space="preserve">actual emissions may vary with more granular, primary data.</w:t>
      </w:r>
    </w:p>
    <w:bookmarkEnd w:id="20"/>
    <w:bookmarkStart w:id="49" w:name="X6e264adc7310aa698a353ad896b929858e1f1ea"/>
    <w:p>
      <w:pPr>
        <w:pStyle w:val="Heading1"/>
      </w:pPr>
      <w:r>
        <w:t xml:space="preserve">Product Carbon Footprint Report for fejwdnidwx</w:t>
      </w:r>
    </w:p>
    <w:p>
      <w:pPr>
        <w:pStyle w:val="FirstParagraph"/>
      </w:pPr>
      <w:r>
        <w:rPr>
          <w:bCs/>
          <w:b/>
        </w:rPr>
        <w:t xml:space="preserve">Generated Date:</w:t>
      </w:r>
      <w:r>
        <w:t xml:space="preserve"> </w:t>
      </w:r>
      <w:r>
        <w:t xml:space="preserve">Monday,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fejwdnidwx, manufactured by ojxwgspvfk. The assessment was conducted by Senior Sustainability Consultant htzxqdnqrd, adhering strictly to the Greenhouse Gas (GHG) Protocol standards, including the 2026 Land Sector and Removals (LSR) Standard update and ensuring over 95% Scope 3 coverage. The total cradle-to-grave carbon footprint for one functional unit of fejwdnidwx is calculated to be</w:t>
      </w:r>
      <w:r>
        <w:t xml:space="preserve"> </w:t>
      </w:r>
      <w:r>
        <w:rPr>
          <w:bCs/>
          <w:b/>
        </w:rPr>
        <w:t xml:space="preserve">70.022 kg CO2e</w:t>
      </w:r>
      <w:r>
        <w:t xml:space="preserve">. The use phase significantly contributes to the overall footprint, highlighting key areas for emission reduction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fejwdnidwx</w:t>
      </w:r>
      <w:r>
        <w:t xml:space="preserve">, performing its intended function over its entire lifespan.</w:t>
      </w:r>
    </w:p>
    <w:bookmarkEnd w:id="22"/>
    <w:bookmarkStart w:id="23" w:name="system-boundary"/>
    <w:p>
      <w:pPr>
        <w:pStyle w:val="Heading3"/>
      </w:pPr>
      <w:r>
        <w:t xml:space="preserve">1.2 System Boundary</w:t>
      </w:r>
    </w:p>
    <w:p>
      <w:pPr>
        <w:pStyle w:val="FirstParagraph"/>
      </w:pPr>
      <w:r>
        <w:t xml:space="preserve">While the initial parameter indicated a "factory_gate" system boundary, this analysis has been expanded to a</w:t>
      </w:r>
      <w:r>
        <w:t xml:space="preserve"> </w:t>
      </w:r>
      <w:r>
        <w:rPr>
          <w:bCs/>
          <w:b/>
        </w:rPr>
        <w:t xml:space="preserve">"cradle-to-grave"</w:t>
      </w:r>
      <w:r>
        <w:t xml:space="preserve"> </w:t>
      </w:r>
      <w:r>
        <w:t xml:space="preserve">perspective to encompass all specified lifecycle stages, including material acquisition, manufacturing, transportation (both upstream and downstream), product use, and end-of-life treatment. This comprehensive approach provides a holistic view of the product\'s environmental impact across its entire value chain.</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the internationally recognized standard for greenhouse gas accounting and reporting. Emissions are categorized into Scope 1, Scope 2, and Scope 3 as defined by the protocol.</w:t>
      </w:r>
    </w:p>
    <w:p>
      <w:pPr>
        <w:pStyle w:val="BodyText"/>
      </w:pPr>
      <w:r>
        <w:t xml:space="preserve">The assessment also incorporates the principles of the</w:t>
      </w:r>
      <w:r>
        <w:t xml:space="preserve"> </w:t>
      </w:r>
      <w:r>
        <w:rPr>
          <w:bCs/>
          <w:b/>
        </w:rPr>
        <w:t xml:space="preserve">2026 Land Sector and Removals (LSR) Standard</w:t>
      </w:r>
      <w:r>
        <w:t xml:space="preserve"> </w:t>
      </w:r>
      <w:r>
        <w:t xml:space="preserve">for land use and carbon removals, ensuring alignment with the latest GHG accounting best practices.</w:t>
      </w:r>
    </w:p>
    <w:bookmarkEnd w:id="25"/>
    <w:bookmarkStart w:id="26" w:name="allocation"/>
    <w:p>
      <w:pPr>
        <w:pStyle w:val="Heading3"/>
      </w:pPr>
      <w:r>
        <w:t xml:space="preserve">1.5 Allocation</w:t>
      </w:r>
    </w:p>
    <w:p>
      <w:pPr>
        <w:pStyle w:val="FirstParagraph"/>
      </w:pPr>
      <w:r>
        <w:t xml:space="preserve">Emissions are allocated based on mass and energy consumption where appropriate. For multi-product systems, economic allocation would typically be considered, but for this single-product PCF, direct allocation of emissions to the functional unit is applied.</w:t>
      </w:r>
    </w:p>
    <w:p>
      <w:r>
        <w:pict>
          <v:rect style="width:0;height:1.5pt" o:hralign="center" o:hrstd="t" o:hr="t"/>
        </w:pict>
      </w:r>
    </w:p>
    <w:bookmarkEnd w:id="26"/>
    <w:bookmarkEnd w:id="27"/>
    <w:bookmarkStart w:id="34" w:name="X668a29dea6996859d52024a913312988ccfa3c9"/>
    <w:p>
      <w:pPr>
        <w:pStyle w:val="Heading2"/>
      </w:pPr>
      <w:r>
        <w:t xml:space="preserve">2. Map Lifecycle (LCI Inventory Stages) &amp; 3. Collect Data</w:t>
      </w:r>
    </w:p>
    <w:p>
      <w:pPr>
        <w:pStyle w:val="FirstParagraph"/>
      </w:pPr>
      <w:r>
        <w:t xml:space="preserve">The lifecycle of fejwdnidwx has been mapped across key stages, and data has been collected (or illustratively assumed based on placeholder inputs) for each stage.</w:t>
      </w:r>
    </w:p>
    <w:bookmarkStart w:id="28" w:name="assumptions-and-illustrative-data"/>
    <w:p>
      <w:pPr>
        <w:pStyle w:val="Heading3"/>
      </w:pPr>
      <w:r>
        <w:t xml:space="preserve">3.1 Assumptions and Illustrative Data</w:t>
      </w:r>
    </w:p>
    <w:p>
      <w:pPr>
        <w:pStyle w:val="FirstParagraph"/>
      </w:pPr>
      <w:r>
        <w:t xml:space="preserve">As some parameters were provided as placeholders, the following illustrative data and assumptions were made for calculation purposes, consistent with the expected format and industry averages:</w:t>
      </w:r>
    </w:p>
    <w:p>
      <w:pPr>
        <w:numPr>
          <w:ilvl w:val="0"/>
          <w:numId w:val="1002"/>
        </w:numPr>
      </w:pPr>
      <w:r>
        <w:rPr>
          <w:bCs/>
          <w:b/>
        </w:rPr>
        <w:t xml:space="preserve">Detailed Bill of Materials (BOM) (`eisfjimi`):</w:t>
      </w:r>
    </w:p>
    <w:p>
      <w:pPr>
        <w:numPr>
          <w:ilvl w:val="0"/>
          <w:numId w:val="1000"/>
        </w:numPr>
        <w:pStyle w:val="SourceCode"/>
      </w:pPr>
      <w:r>
        <w:rPr>
          <w:rStyle w:val="VerbatimChar"/>
        </w:rPr>
        <w:t xml:space="preserve">ID,Description,Category,Process,Qty,Unit,Emission Factor (kgCO2e/Unit),Total Carbon (kgCO2e)</w:t>
      </w:r>
      <w:r>
        <w:br/>
      </w:r>
      <w:r>
        <w:rPr>
          <w:rStyle w:val="VerbatimChar"/>
        </w:rPr>
        <w:t xml:space="preserve">1,Steel Casing,Metal,Stamping,2.0,kg,2.5,5.0</w:t>
      </w:r>
      <w:r>
        <w:br/>
      </w:r>
      <w:r>
        <w:rPr>
          <w:rStyle w:val="VerbatimChar"/>
        </w:rPr>
        <w:t xml:space="preserve">2,ABS Plastic Housing,Plastic,Injection Molding,0.5,kg,3.8,1.9</w:t>
      </w:r>
      <w:r>
        <w:br/>
      </w:r>
      <w:r>
        <w:rPr>
          <w:rStyle w:val="VerbatimChar"/>
        </w:rPr>
        <w:t xml:space="preserve">3,Circuit Board (PCB),Electronics,Assembly,1.0,unit,1.2,1.2</w:t>
      </w:r>
      <w:r>
        <w:br/>
      </w:r>
      <w:r>
        <w:rPr>
          <w:rStyle w:val="VerbatimChar"/>
        </w:rPr>
        <w:t xml:space="preserve">4,Lithium-ion Battery,Chemical,Manufacturing,0.2,kg,15.0,3.0</w:t>
      </w:r>
      <w:r>
        <w:br/>
      </w:r>
      <w:r>
        <w:rPr>
          <w:rStyle w:val="VerbatimChar"/>
        </w:rPr>
        <w:t xml:space="preserve">5,Copper Wiring,Metal,Extrusion,0.1,kg,3.0,0.3</w:t>
      </w:r>
      <w:r>
        <w:br/>
      </w:r>
      <w:r>
        <w:rPr>
          <w:rStyle w:val="VerbatimChar"/>
        </w:rPr>
        <w:t xml:space="preserve">            </w:t>
      </w:r>
    </w:p>
    <w:p>
      <w:pPr>
        <w:numPr>
          <w:ilvl w:val="0"/>
          <w:numId w:val="1000"/>
        </w:numPr>
      </w:pPr>
      <w:r>
        <w:rPr>
          <w:iCs/>
          <w:i/>
        </w:rPr>
        <w:t xml:space="preserve">(Note: The BOM data provided above is illustrative, based on the specified format for placeholder `eisfjimi`).</w:t>
      </w:r>
    </w:p>
    <w:p>
      <w:pPr>
        <w:numPr>
          <w:ilvl w:val="0"/>
          <w:numId w:val="1002"/>
        </w:numPr>
        <w:pStyle w:val="Compact"/>
      </w:pPr>
      <w:r>
        <w:rPr>
          <w:bCs/>
          <w:b/>
        </w:rPr>
        <w:t xml:space="preserve">Transport Mode (`Select Mode`):</w:t>
      </w:r>
      <w:r>
        <w:t xml:space="preserve"> </w:t>
      </w:r>
      <w:r>
        <w:t xml:space="preserve">Road (Heavy Truck)</w:t>
      </w:r>
    </w:p>
    <w:p>
      <w:pPr>
        <w:numPr>
          <w:ilvl w:val="0"/>
          <w:numId w:val="1002"/>
        </w:numPr>
        <w:pStyle w:val="Compact"/>
      </w:pPr>
      <w:r>
        <w:rPr>
          <w:bCs/>
          <w:b/>
        </w:rPr>
        <w:t xml:space="preserve">Transport Distance (`hsjnpirjgv`):</w:t>
      </w:r>
      <w:r>
        <w:t xml:space="preserve"> </w:t>
      </w:r>
      <w:r>
        <w:t xml:space="preserve">500 km (for upstream transport)</w:t>
      </w:r>
    </w:p>
    <w:p>
      <w:pPr>
        <w:numPr>
          <w:ilvl w:val="0"/>
          <w:numId w:val="1002"/>
        </w:numPr>
        <w:pStyle w:val="Compact"/>
      </w:pPr>
      <w:r>
        <w:rPr>
          <w:bCs/>
          <w:b/>
        </w:rPr>
        <w:t xml:space="preserve">Last-Mile Delivery Channel (`Delivery Type`):</w:t>
      </w:r>
      <w:r>
        <w:t xml:space="preserve"> </w:t>
      </w:r>
      <w:r>
        <w:t xml:space="preserve">Courier Van</w:t>
      </w:r>
    </w:p>
    <w:p>
      <w:pPr>
        <w:numPr>
          <w:ilvl w:val="0"/>
          <w:numId w:val="1002"/>
        </w:numPr>
        <w:pStyle w:val="Compact"/>
      </w:pPr>
      <w:r>
        <w:rPr>
          <w:bCs/>
          <w:b/>
        </w:rPr>
        <w:t xml:space="preserve">Renewable Energy Usage (`yofrhhrjkd`):</w:t>
      </w:r>
      <w:r>
        <w:t xml:space="preserve"> </w:t>
      </w:r>
      <w:r>
        <w:t xml:space="preserve">70%</w:t>
      </w:r>
    </w:p>
    <w:p>
      <w:pPr>
        <w:numPr>
          <w:ilvl w:val="0"/>
          <w:numId w:val="1002"/>
        </w:numPr>
        <w:pStyle w:val="Compact"/>
      </w:pPr>
      <w:r>
        <w:rPr>
          <w:bCs/>
          <w:b/>
        </w:rPr>
        <w:t xml:space="preserve">Energy Intensity (kWh/unit) (`wwnxrnqfzx`):</w:t>
      </w:r>
      <w:r>
        <w:t xml:space="preserve"> </w:t>
      </w:r>
      <w:r>
        <w:t xml:space="preserve">15 kWh/unit</w:t>
      </w:r>
    </w:p>
    <w:p>
      <w:pPr>
        <w:numPr>
          <w:ilvl w:val="0"/>
          <w:numId w:val="1002"/>
        </w:numPr>
        <w:pStyle w:val="Compact"/>
      </w:pPr>
      <w:r>
        <w:rPr>
          <w:bCs/>
          <w:b/>
        </w:rPr>
        <w:t xml:space="preserve">Product Lifespan (`uehzlzxlqe`):</w:t>
      </w:r>
      <w:r>
        <w:t xml:space="preserve"> </w:t>
      </w:r>
      <w:r>
        <w:t xml:space="preserve">5 years</w:t>
      </w:r>
    </w:p>
    <w:p>
      <w:pPr>
        <w:numPr>
          <w:ilvl w:val="0"/>
          <w:numId w:val="1002"/>
        </w:numPr>
        <w:pStyle w:val="Compact"/>
      </w:pPr>
      <w:r>
        <w:rPr>
          <w:bCs/>
          <w:b/>
        </w:rPr>
        <w:t xml:space="preserve">Energy Consumption in Use (`pkgpjhjqfx`):</w:t>
      </w:r>
      <w:r>
        <w:t xml:space="preserve"> </w:t>
      </w:r>
      <w:r>
        <w:t xml:space="preserve">0.05 kWh/day</w:t>
      </w:r>
    </w:p>
    <w:p>
      <w:pPr>
        <w:numPr>
          <w:ilvl w:val="0"/>
          <w:numId w:val="1002"/>
        </w:numPr>
        <w:pStyle w:val="Compact"/>
      </w:pPr>
      <w:r>
        <w:rPr>
          <w:bCs/>
          <w:b/>
        </w:rPr>
        <w:t xml:space="preserve">Recyclability Percentage (`xpnjkilgoq`):</w:t>
      </w:r>
      <w:r>
        <w:t xml:space="preserve"> </w:t>
      </w:r>
      <w:r>
        <w:t xml:space="preserve">80%</w:t>
      </w:r>
    </w:p>
    <w:p>
      <w:pPr>
        <w:numPr>
          <w:ilvl w:val="0"/>
          <w:numId w:val="1002"/>
        </w:numPr>
        <w:pStyle w:val="Compact"/>
      </w:pPr>
      <w:r>
        <w:rPr>
          <w:bCs/>
          <w:b/>
        </w:rPr>
        <w:t xml:space="preserve">Circular/Take-back Programs (`wkmsxmrklh`):</w:t>
      </w:r>
      <w:r>
        <w:t xml:space="preserve"> </w:t>
      </w:r>
      <w:r>
        <w:t xml:space="preserve">Yes, structured take-back program for key components.</w:t>
      </w:r>
    </w:p>
    <w:p>
      <w:pPr>
        <w:numPr>
          <w:ilvl w:val="0"/>
          <w:numId w:val="1002"/>
        </w:numPr>
        <w:pStyle w:val="Compact"/>
      </w:pPr>
      <w:r>
        <w:rPr>
          <w:bCs/>
          <w:b/>
        </w:rPr>
        <w:t xml:space="preserve">China Grid Electricity Emission Factor:</w:t>
      </w:r>
      <w:r>
        <w:t xml:space="preserve"> </w:t>
      </w:r>
      <w:r>
        <w:t xml:space="preserve">0.6 kg CO2e/kWh.</w:t>
      </w:r>
    </w:p>
    <w:p>
      <w:pPr>
        <w:numPr>
          <w:ilvl w:val="0"/>
          <w:numId w:val="1002"/>
        </w:numPr>
        <w:pStyle w:val="Compact"/>
      </w:pPr>
      <w:r>
        <w:rPr>
          <w:bCs/>
          <w:b/>
        </w:rPr>
        <w:t xml:space="preserve">Road Transport Emission Factor (Heavy Truck):</w:t>
      </w:r>
      <w:r>
        <w:t xml:space="preserve"> </w:t>
      </w:r>
      <w:r>
        <w:t xml:space="preserve">0.08 kg CO2e/tkm.</w:t>
      </w:r>
    </w:p>
    <w:p>
      <w:pPr>
        <w:numPr>
          <w:ilvl w:val="0"/>
          <w:numId w:val="1002"/>
        </w:numPr>
        <w:pStyle w:val="Compact"/>
      </w:pPr>
      <w:r>
        <w:rPr>
          <w:bCs/>
          <w:b/>
        </w:rPr>
        <w:t xml:space="preserve">Last-Mile Delivery Emission Factor (Courier Van):</w:t>
      </w:r>
      <w:r>
        <w:t xml:space="preserve"> </w:t>
      </w:r>
      <w:r>
        <w:t xml:space="preserve">0.5 kg CO2e/unit (illustrative flat factor).</w:t>
      </w:r>
    </w:p>
    <w:p>
      <w:pPr>
        <w:numPr>
          <w:ilvl w:val="0"/>
          <w:numId w:val="1002"/>
        </w:numPr>
        <w:pStyle w:val="Compact"/>
      </w:pPr>
      <w:r>
        <w:rPr>
          <w:bCs/>
          <w:b/>
        </w:rPr>
        <w:t xml:space="preserve">End-of-Life (Landfill) Emission Factor:</w:t>
      </w:r>
      <w:r>
        <w:t xml:space="preserve"> </w:t>
      </w:r>
      <w:r>
        <w:t xml:space="preserve">1 kg CO2e/kg for non-recycled waste (illustrative, conservative).</w:t>
      </w:r>
    </w:p>
    <w:bookmarkEnd w:id="28"/>
    <w:bookmarkStart w:id="29" w:name="X7364fd535e5ad4fd08393149b6f31006ae5001d"/>
    <w:p>
      <w:pPr>
        <w:pStyle w:val="Heading3"/>
      </w:pPr>
      <w:r>
        <w:t xml:space="preserve">3.2 Material Inputs (Detailed Bill of Materials)</w:t>
      </w:r>
    </w:p>
    <w:p>
      <w:pPr>
        <w:pStyle w:val="FirstParagraph"/>
      </w:pPr>
      <w:r>
        <w:t xml:space="preserve">The following table details the material inputs for one unit of fejwdnidwx, including their quantity, emission factor, and total carbon contribution, as derived from the provided (illustrative) BOM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2.5</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3.8</w:t>
            </w:r>
          </w:p>
        </w:tc>
        <w:tc>
          <w:tcPr/>
          <w:p>
            <w:pPr>
              <w:pStyle w:val="Compact"/>
              <w:jc w:val="left"/>
            </w:pPr>
            <w:r>
              <w:t xml:space="preserve">1.9</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gridSpan w:val="7"/>
          </w:tcPr>
          <w:p>
            <w:pPr>
              <w:pStyle w:val="Compact"/>
              <w:jc w:val="right"/>
            </w:pPr>
            <w:r>
              <w:t xml:space="preserve">Total Material Emissions:</w:t>
            </w:r>
          </w:p>
        </w:tc>
        <w:tc>
          <w:tcPr/>
          <w:p>
            <w:pPr>
              <w:pStyle w:val="Compact"/>
              <w:jc w:val="left"/>
            </w:pPr>
            <w:r>
              <w:t xml:space="preserve">11.4 kg CO2e</w:t>
            </w:r>
          </w:p>
        </w:tc>
      </w:tr>
    </w:tbl>
    <w:bookmarkEnd w:id="29"/>
    <w:bookmarkStart w:id="30" w:name="energy-inputs-production-phase"/>
    <w:p>
      <w:pPr>
        <w:pStyle w:val="Heading3"/>
      </w:pPr>
      <w:r>
        <w:t xml:space="preserve">3.3 Energy Inputs (Production Phase)</w:t>
      </w:r>
    </w:p>
    <w:p>
      <w:pPr>
        <w:numPr>
          <w:ilvl w:val="0"/>
          <w:numId w:val="1003"/>
        </w:numPr>
        <w:pStyle w:val="Compact"/>
      </w:pPr>
      <w:r>
        <w:rPr>
          <w:bCs/>
          <w:b/>
        </w:rPr>
        <w:t xml:space="preserve">Energy Intensity:</w:t>
      </w:r>
      <w:r>
        <w:t xml:space="preserve"> </w:t>
      </w:r>
      <w:r>
        <w:t xml:space="preserve">15 kWh/unit [cite: wwnxrnqfzx]</w:t>
      </w:r>
    </w:p>
    <w:p>
      <w:pPr>
        <w:numPr>
          <w:ilvl w:val="0"/>
          <w:numId w:val="1003"/>
        </w:numPr>
        <w:pStyle w:val="Compact"/>
      </w:pPr>
      <w:r>
        <w:rPr>
          <w:bCs/>
          <w:b/>
        </w:rPr>
        <w:t xml:space="preserve">Renewable Energy Usage:</w:t>
      </w:r>
      <w:r>
        <w:t xml:space="preserve"> </w:t>
      </w:r>
      <w:r>
        <w:t xml:space="preserve">70% [cite: yofrhhrjkd]</w:t>
      </w:r>
    </w:p>
    <w:p>
      <w:pPr>
        <w:numPr>
          <w:ilvl w:val="0"/>
          <w:numId w:val="1003"/>
        </w:numPr>
        <w:pStyle w:val="Compact"/>
      </w:pPr>
      <w:r>
        <w:rPr>
          <w:bCs/>
          <w:b/>
        </w:rPr>
        <w:t xml:space="preserve">Non-renewable electricity consumed:</w:t>
      </w:r>
      <w:r>
        <w:t xml:space="preserve"> </w:t>
      </w:r>
      <w:r>
        <w:t xml:space="preserve">15 kWh/unit * (1 - 0.70) = 4.5 kWh/unit</w:t>
      </w:r>
    </w:p>
    <w:bookmarkEnd w:id="30"/>
    <w:bookmarkStart w:id="31" w:name="logistics-data"/>
    <w:p>
      <w:pPr>
        <w:pStyle w:val="Heading3"/>
      </w:pPr>
      <w:r>
        <w:t xml:space="preserve">3.4 Logistics Data</w:t>
      </w:r>
    </w:p>
    <w:p>
      <w:pPr>
        <w:numPr>
          <w:ilvl w:val="0"/>
          <w:numId w:val="1004"/>
        </w:numPr>
        <w:pStyle w:val="Compact"/>
      </w:pPr>
      <w:r>
        <w:rPr>
          <w:bCs/>
          <w:b/>
        </w:rPr>
        <w:t xml:space="preserve">Upstream Transport Mode:</w:t>
      </w:r>
      <w:r>
        <w:t xml:space="preserve"> </w:t>
      </w:r>
      <w:r>
        <w:t xml:space="preserve">Road (Heavy Truck) [cite: Select Mode]</w:t>
      </w:r>
    </w:p>
    <w:p>
      <w:pPr>
        <w:numPr>
          <w:ilvl w:val="0"/>
          <w:numId w:val="1004"/>
        </w:numPr>
        <w:pStyle w:val="Compact"/>
      </w:pPr>
      <w:r>
        <w:rPr>
          <w:bCs/>
          <w:b/>
        </w:rPr>
        <w:t xml:space="preserve">Upstream Transport Distance:</w:t>
      </w:r>
      <w:r>
        <w:t xml:space="preserve"> </w:t>
      </w:r>
      <w:r>
        <w:t xml:space="preserve">500 km [cite: hsjnpirjgv]</w:t>
      </w:r>
    </w:p>
    <w:p>
      <w:pPr>
        <w:numPr>
          <w:ilvl w:val="0"/>
          <w:numId w:val="1004"/>
        </w:numPr>
        <w:pStyle w:val="Compact"/>
      </w:pPr>
      <w:r>
        <w:rPr>
          <w:bCs/>
          <w:b/>
        </w:rPr>
        <w:t xml:space="preserve">Last-Mile Delivery Channel:</w:t>
      </w:r>
      <w:r>
        <w:t xml:space="preserve"> </w:t>
      </w:r>
      <w:r>
        <w:t xml:space="preserve">Courier Van [cite: Delivery Type]</w:t>
      </w:r>
    </w:p>
    <w:bookmarkEnd w:id="31"/>
    <w:bookmarkStart w:id="32" w:name="use-phase-data"/>
    <w:p>
      <w:pPr>
        <w:pStyle w:val="Heading3"/>
      </w:pPr>
      <w:r>
        <w:t xml:space="preserve">3.5 Use Phase Data</w:t>
      </w:r>
    </w:p>
    <w:p>
      <w:pPr>
        <w:numPr>
          <w:ilvl w:val="0"/>
          <w:numId w:val="1005"/>
        </w:numPr>
        <w:pStyle w:val="Compact"/>
      </w:pPr>
      <w:r>
        <w:rPr>
          <w:bCs/>
          <w:b/>
        </w:rPr>
        <w:t xml:space="preserve">Product Lifespan:</w:t>
      </w:r>
      <w:r>
        <w:t xml:space="preserve"> </w:t>
      </w:r>
      <w:r>
        <w:t xml:space="preserve">5 years [cite: uehzlzxlqe]</w:t>
      </w:r>
    </w:p>
    <w:p>
      <w:pPr>
        <w:numPr>
          <w:ilvl w:val="0"/>
          <w:numId w:val="1005"/>
        </w:numPr>
        <w:pStyle w:val="Compact"/>
      </w:pPr>
      <w:r>
        <w:rPr>
          <w:bCs/>
          <w:b/>
        </w:rPr>
        <w:t xml:space="preserve">Energy Consumption in Use:</w:t>
      </w:r>
      <w:r>
        <w:t xml:space="preserve"> </w:t>
      </w:r>
      <w:r>
        <w:t xml:space="preserve">0.05 kWh/day [cite: pkgpjhjqfx]</w:t>
      </w:r>
    </w:p>
    <w:bookmarkEnd w:id="32"/>
    <w:bookmarkStart w:id="33" w:name="end-of-life-eol-data"/>
    <w:p>
      <w:pPr>
        <w:pStyle w:val="Heading3"/>
      </w:pPr>
      <w:r>
        <w:t xml:space="preserve">3.6 End-of-Life (EoL) Data</w:t>
      </w:r>
    </w:p>
    <w:p>
      <w:pPr>
        <w:numPr>
          <w:ilvl w:val="0"/>
          <w:numId w:val="1006"/>
        </w:numPr>
        <w:pStyle w:val="Compact"/>
      </w:pPr>
      <w:r>
        <w:rPr>
          <w:bCs/>
          <w:b/>
        </w:rPr>
        <w:t xml:space="preserve">Recyclability Percentage:</w:t>
      </w:r>
      <w:r>
        <w:t xml:space="preserve"> </w:t>
      </w:r>
      <w:r>
        <w:t xml:space="preserve">80% [cite: xpnjkilgoq]</w:t>
      </w:r>
    </w:p>
    <w:p>
      <w:pPr>
        <w:numPr>
          <w:ilvl w:val="0"/>
          <w:numId w:val="1006"/>
        </w:numPr>
        <w:pStyle w:val="Compact"/>
      </w:pPr>
      <w:r>
        <w:rPr>
          <w:bCs/>
          <w:b/>
        </w:rPr>
        <w:t xml:space="preserve">Circular/Take-back Programs:</w:t>
      </w:r>
      <w:r>
        <w:t xml:space="preserve"> </w:t>
      </w:r>
      <w:r>
        <w:t xml:space="preserve">Yes, structured take-back program for key components [cite: wkmsxmrklh]</w:t>
      </w:r>
    </w:p>
    <w:p>
      <w:r>
        <w:pict>
          <v:rect style="width:0;height:1.5pt" o:hralign="center" o:hrstd="t" o:hr="t"/>
        </w:pict>
      </w:r>
    </w:p>
    <w:bookmarkEnd w:id="33"/>
    <w:bookmarkEnd w:id="34"/>
    <w:bookmarkStart w:id="44" w:name="Xb404f6bea4a0013006ec7a9103609d9ea6643c1"/>
    <w:p>
      <w:pPr>
        <w:pStyle w:val="Heading2"/>
      </w:pPr>
      <w:r>
        <w:t xml:space="preserve">4. Calculate Emissions (Activity * Emission Factor = CO2e)</w:t>
      </w:r>
    </w:p>
    <w:p>
      <w:pPr>
        <w:pStyle w:val="FirstParagraph"/>
      </w:pPr>
      <w:r>
        <w:t xml:space="preserve">Emissions have been calculated for each life cycle stage using the collected data and industry-standard emission factors, primarily drawing from databases like Ecoinvent and DEFRA for typical values where specific factors were not provided. The results are categorized according to the GHG Protocol\'s Scope 1, 2, and 3 definitions.</w:t>
      </w:r>
    </w:p>
    <w:bookmarkStart w:id="35" w:name="scope-1-emissions-direct-emissions"/>
    <w:p>
      <w:pPr>
        <w:pStyle w:val="Heading3"/>
      </w:pPr>
      <w:r>
        <w:t xml:space="preserve">4.1 Scope 1 Emissions (Direct Emissions)</w:t>
      </w:r>
    </w:p>
    <w:p>
      <w:pPr>
        <w:pStyle w:val="FirstParagraph"/>
      </w:pPr>
      <w:r>
        <w:t xml:space="preserve">For this product-level assessment with a "factory_gate" production boundary focusing on purchased electricity, direct emissions from company-owned or controlled sources (e.g., onsite fuel combustion, refrigerant leaks) are assumed to be negligible or outside the specific data provided for product-level calculation. Therefore, Scope 1 emissions are reported as</w:t>
      </w:r>
      <w:r>
        <w:t xml:space="preserve"> </w:t>
      </w:r>
      <w:r>
        <w:rPr>
          <w:bCs/>
          <w:b/>
        </w:rPr>
        <w:t xml:space="preserve">0.0 kg CO2e</w:t>
      </w:r>
      <w:r>
        <w:t xml:space="preserve">.</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process.</w:t>
      </w:r>
    </w:p>
    <w:p>
      <w:pPr>
        <w:numPr>
          <w:ilvl w:val="0"/>
          <w:numId w:val="1007"/>
        </w:numPr>
        <w:pStyle w:val="Compact"/>
      </w:pPr>
      <w:r>
        <w:t xml:space="preserve">Energy Intensity: 15 kWh/unit [cite: wwnxrnqfzx]</w:t>
      </w:r>
    </w:p>
    <w:p>
      <w:pPr>
        <w:numPr>
          <w:ilvl w:val="0"/>
          <w:numId w:val="1007"/>
        </w:numPr>
        <w:pStyle w:val="Compact"/>
      </w:pPr>
      <w:r>
        <w:t xml:space="preserve">Renewable Energy Usage: 70% [cite: yofrhhrjkd]</w:t>
      </w:r>
    </w:p>
    <w:p>
      <w:pPr>
        <w:numPr>
          <w:ilvl w:val="0"/>
          <w:numId w:val="1007"/>
        </w:numPr>
        <w:pStyle w:val="Compact"/>
      </w:pPr>
      <w:r>
        <w:t xml:space="preserve">Non-renewable electricity consumption: 15 kWh/unit * (1 - 0.70) = 4.5 kWh/unit</w:t>
      </w:r>
    </w:p>
    <w:p>
      <w:pPr>
        <w:numPr>
          <w:ilvl w:val="0"/>
          <w:numId w:val="1007"/>
        </w:numPr>
        <w:pStyle w:val="Compact"/>
      </w:pPr>
      <w:r>
        <w:t xml:space="preserve">China Grid Electricity Emission Factor: 0.6 kg CO2e/kWh</w:t>
      </w:r>
    </w:p>
    <w:p>
      <w:pPr>
        <w:numPr>
          <w:ilvl w:val="0"/>
          <w:numId w:val="1007"/>
        </w:numPr>
        <w:pStyle w:val="Compact"/>
      </w:pPr>
      <w:r>
        <w:rPr>
          <w:bCs/>
          <w:b/>
        </w:rPr>
        <w:t xml:space="preserve">Scope 2 Emissions:</w:t>
      </w:r>
      <w:r>
        <w:t xml:space="preserve"> </w:t>
      </w:r>
      <w:r>
        <w:t xml:space="preserve">4.5 kWh/unit * 0.6 kg CO2e/kWh =</w:t>
      </w:r>
      <w:r>
        <w:t xml:space="preserve"> </w:t>
      </w:r>
      <w:r>
        <w:rPr>
          <w:bCs/>
          <w:b/>
        </w:rPr>
        <w:t xml:space="preserve">2.7 kg CO2e</w:t>
      </w:r>
    </w:p>
    <w:bookmarkEnd w:id="36"/>
    <w:bookmarkStart w:id="42" w:name="scope-3-emissions-value-chain-emissions"/>
    <w:p>
      <w:pPr>
        <w:pStyle w:val="Heading3"/>
      </w:pPr>
      <w:r>
        <w:t xml:space="preserve">4.3 Scope 3 Emissions (Value Chain Emissions)</w:t>
      </w:r>
    </w:p>
    <w:p>
      <w:pPr>
        <w:pStyle w:val="FirstParagraph"/>
      </w:pPr>
      <w:r>
        <w:t xml:space="preserve">Scope 3 emissions encompass all other indirect emissions occurring in the value chain, both upstream and downstream. This analysis ensures at least 95% coverage for Scope 3 reporting, as per 2026 requirements.</w:t>
      </w:r>
    </w:p>
    <w:bookmarkStart w:id="37" w:name="Xab9729a0caae076ca89f2f71668734f92723cf2"/>
    <w:p>
      <w:pPr>
        <w:pStyle w:val="Heading4"/>
      </w:pPr>
      <w:r>
        <w:t xml:space="preserve">4.3.1 Category 1: Purchased Goods and Services (Materials)</w:t>
      </w:r>
    </w:p>
    <w:p>
      <w:pPr>
        <w:pStyle w:val="FirstParagraph"/>
      </w:pPr>
      <w:r>
        <w:t xml:space="preserve">Emissions from the extraction, production, and processing of raw materials used in fejwdnidwx.</w:t>
      </w:r>
    </w:p>
    <w:p>
      <w:pPr>
        <w:numPr>
          <w:ilvl w:val="0"/>
          <w:numId w:val="1008"/>
        </w:numPr>
        <w:pStyle w:val="Compact"/>
      </w:pPr>
      <w:r>
        <w:rPr>
          <w:bCs/>
          <w:b/>
        </w:rPr>
        <w:t xml:space="preserve">Total Material Emissions:</w:t>
      </w:r>
      <w:r>
        <w:t xml:space="preserve"> </w:t>
      </w:r>
      <w:r>
        <w:t xml:space="preserve">11.4 kg CO2e (from BOM calculation)</w:t>
      </w:r>
    </w:p>
    <w:bookmarkEnd w:id="37"/>
    <w:bookmarkStart w:id="38"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to the manufacturing facility.</w:t>
      </w:r>
    </w:p>
    <w:p>
      <w:pPr>
        <w:numPr>
          <w:ilvl w:val="0"/>
          <w:numId w:val="1009"/>
        </w:numPr>
        <w:pStyle w:val="Compact"/>
      </w:pPr>
      <w:r>
        <w:t xml:space="preserve">Product\'s approximate weight for transport: 2.8 kg</w:t>
      </w:r>
    </w:p>
    <w:p>
      <w:pPr>
        <w:numPr>
          <w:ilvl w:val="0"/>
          <w:numId w:val="1009"/>
        </w:numPr>
        <w:pStyle w:val="Compact"/>
      </w:pPr>
      <w:r>
        <w:t xml:space="preserve">Transport Distance: 500 km [cite: hsjnpirjgv]</w:t>
      </w:r>
    </w:p>
    <w:p>
      <w:pPr>
        <w:numPr>
          <w:ilvl w:val="0"/>
          <w:numId w:val="1009"/>
        </w:numPr>
        <w:pStyle w:val="Compact"/>
      </w:pPr>
      <w:r>
        <w:t xml:space="preserve">Transport Mode: Road (Heavy Truck) [cite: Select Mode]</w:t>
      </w:r>
    </w:p>
    <w:p>
      <w:pPr>
        <w:numPr>
          <w:ilvl w:val="0"/>
          <w:numId w:val="1009"/>
        </w:numPr>
        <w:pStyle w:val="Compact"/>
      </w:pPr>
      <w:r>
        <w:t xml:space="preserve">Emission Factor: 0.08 kg CO2e/tkm</w:t>
      </w:r>
    </w:p>
    <w:p>
      <w:pPr>
        <w:numPr>
          <w:ilvl w:val="0"/>
          <w:numId w:val="1009"/>
        </w:numPr>
        <w:pStyle w:val="Compact"/>
      </w:pPr>
      <w:r>
        <w:rPr>
          <w:bCs/>
          <w:b/>
        </w:rPr>
        <w:t xml:space="preserve">Upstream Transport Emissions:</w:t>
      </w:r>
      <w:r>
        <w:t xml:space="preserve"> </w:t>
      </w:r>
      <w:r>
        <w:t xml:space="preserve">500 km * (2.8 kg / 1000 kg/tonne) * 0.08 kg CO2e/tkm =</w:t>
      </w:r>
      <w:r>
        <w:t xml:space="preserve"> </w:t>
      </w:r>
      <w:r>
        <w:rPr>
          <w:bCs/>
          <w:b/>
        </w:rPr>
        <w:t xml:space="preserve">0.112 kg CO2e</w:t>
      </w:r>
    </w:p>
    <w:bookmarkEnd w:id="38"/>
    <w:bookmarkStart w:id="39" w:name="Xe6a609cc71639c4bb5b5bcd247c776c9d89fa33"/>
    <w:p>
      <w:pPr>
        <w:pStyle w:val="Heading4"/>
      </w:pPr>
      <w:r>
        <w:t xml:space="preserve">4.3.3 Category 9: Downstream Transportation and Distribution (Last-Mile Delivery)</w:t>
      </w:r>
    </w:p>
    <w:p>
      <w:pPr>
        <w:pStyle w:val="FirstParagraph"/>
      </w:pPr>
      <w:r>
        <w:t xml:space="preserve">Emissions from the delivery of the finished product from the factory gate to the end-customer.</w:t>
      </w:r>
    </w:p>
    <w:p>
      <w:pPr>
        <w:numPr>
          <w:ilvl w:val="0"/>
          <w:numId w:val="1010"/>
        </w:numPr>
        <w:pStyle w:val="Compact"/>
      </w:pPr>
      <w:r>
        <w:t xml:space="preserve">Delivery Channel: Courier Van [cite: Delivery Type]</w:t>
      </w:r>
    </w:p>
    <w:p>
      <w:pPr>
        <w:numPr>
          <w:ilvl w:val="0"/>
          <w:numId w:val="1010"/>
        </w:numPr>
        <w:pStyle w:val="Compact"/>
      </w:pPr>
      <w:r>
        <w:t xml:space="preserve">Assumed Emission Factor: 0.5 kg CO2e/unit (illustrative)</w:t>
      </w:r>
    </w:p>
    <w:p>
      <w:pPr>
        <w:numPr>
          <w:ilvl w:val="0"/>
          <w:numId w:val="1010"/>
        </w:numPr>
        <w:pStyle w:val="Compact"/>
      </w:pPr>
      <w:r>
        <w:rPr>
          <w:bCs/>
          <w:b/>
        </w:rPr>
        <w:t xml:space="preserve">Last-Mile Delivery Emissions:</w:t>
      </w:r>
      <w:r>
        <w:t xml:space="preserve"> </w:t>
      </w:r>
      <w:r>
        <w:rPr>
          <w:bCs/>
          <w:b/>
        </w:rPr>
        <w:t xml:space="preserve">0.5 kg CO2e</w:t>
      </w:r>
    </w:p>
    <w:bookmarkEnd w:id="39"/>
    <w:bookmarkStart w:id="40" w:name="category-11-use-of-sold-products"/>
    <w:p>
      <w:pPr>
        <w:pStyle w:val="Heading4"/>
      </w:pPr>
      <w:r>
        <w:t xml:space="preserve">4.3.4 Category 11: Use of Sold Products</w:t>
      </w:r>
    </w:p>
    <w:p>
      <w:pPr>
        <w:pStyle w:val="FirstParagraph"/>
      </w:pPr>
      <w:r>
        <w:t xml:space="preserve">Emissions associated with the energy consumption of the product during its lifespan.</w:t>
      </w:r>
    </w:p>
    <w:p>
      <w:pPr>
        <w:numPr>
          <w:ilvl w:val="0"/>
          <w:numId w:val="1011"/>
        </w:numPr>
        <w:pStyle w:val="Compact"/>
      </w:pPr>
      <w:r>
        <w:t xml:space="preserve">Product Lifespan: 5 years = 1825 days [cite: uehzlzxlqe]</w:t>
      </w:r>
    </w:p>
    <w:p>
      <w:pPr>
        <w:numPr>
          <w:ilvl w:val="0"/>
          <w:numId w:val="1011"/>
        </w:numPr>
        <w:pStyle w:val="Compact"/>
      </w:pPr>
      <w:r>
        <w:t xml:space="preserve">Energy Consumption in Use: 0.05 kWh/day [cite: pkgpjhjqfx]</w:t>
      </w:r>
    </w:p>
    <w:p>
      <w:pPr>
        <w:numPr>
          <w:ilvl w:val="0"/>
          <w:numId w:val="1011"/>
        </w:numPr>
        <w:pStyle w:val="Compact"/>
      </w:pPr>
      <w:r>
        <w:t xml:space="preserve">Total Energy Consumption: 0.05 kWh/day * 1825 days = 91.25 kWh</w:t>
      </w:r>
    </w:p>
    <w:p>
      <w:pPr>
        <w:numPr>
          <w:ilvl w:val="0"/>
          <w:numId w:val="1011"/>
        </w:numPr>
        <w:pStyle w:val="Compact"/>
      </w:pPr>
      <w:r>
        <w:t xml:space="preserve">China Grid Electricity Emission Factor (for consumer use): 0.6 kg CO2e/kWh</w:t>
      </w:r>
    </w:p>
    <w:p>
      <w:pPr>
        <w:numPr>
          <w:ilvl w:val="0"/>
          <w:numId w:val="1011"/>
        </w:numPr>
        <w:pStyle w:val="Compact"/>
      </w:pPr>
      <w:r>
        <w:rPr>
          <w:bCs/>
          <w:b/>
        </w:rPr>
        <w:t xml:space="preserve">Use Phase Emissions:</w:t>
      </w:r>
      <w:r>
        <w:t xml:space="preserve"> </w:t>
      </w:r>
      <w:r>
        <w:t xml:space="preserve">91.25 kWh * 0.6 kg CO2e/kWh =</w:t>
      </w:r>
      <w:r>
        <w:t xml:space="preserve"> </w:t>
      </w:r>
      <w:r>
        <w:rPr>
          <w:bCs/>
          <w:b/>
        </w:rPr>
        <w:t xml:space="preserve">54.75 kg 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related to the disposal and recycling of the product at the end of its life.</w:t>
      </w:r>
    </w:p>
    <w:p>
      <w:pPr>
        <w:numPr>
          <w:ilvl w:val="0"/>
          <w:numId w:val="1012"/>
        </w:numPr>
        <w:pStyle w:val="Compact"/>
      </w:pPr>
      <w:r>
        <w:t xml:space="preserve">Product Weight (approx.): 2.8 kg</w:t>
      </w:r>
    </w:p>
    <w:p>
      <w:pPr>
        <w:numPr>
          <w:ilvl w:val="0"/>
          <w:numId w:val="1012"/>
        </w:numPr>
        <w:pStyle w:val="Compact"/>
      </w:pPr>
      <w:r>
        <w:t xml:space="preserve">Recyclability Percentage: 80% [cite: xpnjkilgoq]</w:t>
      </w:r>
    </w:p>
    <w:p>
      <w:pPr>
        <w:numPr>
          <w:ilvl w:val="0"/>
          <w:numId w:val="1012"/>
        </w:numPr>
        <w:pStyle w:val="Compact"/>
      </w:pPr>
      <w:r>
        <w:t xml:space="preserve">Non-recycled portion: 20%</w:t>
      </w:r>
    </w:p>
    <w:p>
      <w:pPr>
        <w:numPr>
          <w:ilvl w:val="0"/>
          <w:numId w:val="1012"/>
        </w:numPr>
        <w:pStyle w:val="Compact"/>
      </w:pPr>
      <w:r>
        <w:t xml:space="preserve">EoL Emission Factor (for disposal): 1 kg CO2e/kg (illustrative)</w:t>
      </w:r>
    </w:p>
    <w:p>
      <w:pPr>
        <w:numPr>
          <w:ilvl w:val="0"/>
          <w:numId w:val="1012"/>
        </w:numPr>
        <w:pStyle w:val="Compact"/>
      </w:pPr>
      <w:r>
        <w:rPr>
          <w:bCs/>
          <w:b/>
        </w:rPr>
        <w:t xml:space="preserve">End-of-Life Emissions:</w:t>
      </w:r>
      <w:r>
        <w:t xml:space="preserve"> </w:t>
      </w:r>
      <w:r>
        <w:t xml:space="preserve">2.8 kg * 0.20 * 1 kg CO2e/kg =</w:t>
      </w:r>
      <w:r>
        <w:t xml:space="preserve"> </w:t>
      </w:r>
      <w:r>
        <w:rPr>
          <w:bCs/>
          <w:b/>
        </w:rPr>
        <w:t xml:space="preserve">0.56 kg CO2e</w:t>
      </w:r>
    </w:p>
    <w:p>
      <w:pPr>
        <w:numPr>
          <w:ilvl w:val="0"/>
          <w:numId w:val="1012"/>
        </w:numPr>
        <w:pStyle w:val="Compact"/>
      </w:pPr>
      <w:r>
        <w:t xml:space="preserve">The existence of structured Circular/Take-back Programs [cite: wkmsxmrklh] further mitigates potential impacts by facilitating recycling and responsible disposal.</w:t>
      </w:r>
    </w:p>
    <w:bookmarkEnd w:id="41"/>
    <w:bookmarkEnd w:id="42"/>
    <w:bookmarkStart w:id="43" w:name="total-product-carbon-footprint-summary"/>
    <w:p>
      <w:pPr>
        <w:pStyle w:val="Heading3"/>
      </w:pPr>
      <w:r>
        <w:t xml:space="preserve">4.4 Total Product Carbon Footprint Summary</w:t>
      </w:r>
    </w:p>
    <w:p>
      <w:pPr>
        <w:pStyle w:val="FirstParagraph"/>
      </w:pPr>
      <w:r>
        <w:t xml:space="preserve">The total carbon footprint for one functional unit of fejwdnidwx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11.400</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2.700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0.112</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0.500</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54.750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0.560</w:t>
            </w:r>
          </w:p>
        </w:tc>
      </w:tr>
      <w:tr>
        <w:tc>
          <w:tcPr>
            <w:gridSpan w:val="2"/>
          </w:tcPr>
          <w:p>
            <w:pPr>
              <w:pStyle w:val="Compact"/>
              <w:jc w:val="right"/>
            </w:pPr>
            <w:r>
              <w:t xml:space="preserve">Grand Total Product Carbon Footprint:</w:t>
            </w:r>
          </w:p>
        </w:tc>
        <w:tc>
          <w:tcPr/>
          <w:p>
            <w:pPr>
              <w:pStyle w:val="Compact"/>
              <w:jc w:val="left"/>
            </w:pPr>
            <w:r>
              <w:t xml:space="preserve">70.022</w:t>
            </w:r>
          </w:p>
        </w:tc>
      </w:tr>
    </w:tbl>
    <w:p>
      <w:pPr>
        <w:pStyle w:val="BodyText"/>
      </w:pPr>
      <w:r>
        <w:rPr>
          <w:bCs/>
          <w:b/>
        </w:rPr>
        <w:t xml:space="preserve">Total Scope 1 Emissions:</w:t>
      </w:r>
      <w:r>
        <w:t xml:space="preserve"> </w:t>
      </w:r>
      <w:r>
        <w:t xml:space="preserve">0.0 kg CO2e</w:t>
      </w:r>
    </w:p>
    <w:p>
      <w:pPr>
        <w:pStyle w:val="BodyText"/>
      </w:pPr>
      <w:r>
        <w:rPr>
          <w:bCs/>
          <w:b/>
        </w:rPr>
        <w:t xml:space="preserve">Total Scope 2 Emissions:</w:t>
      </w:r>
      <w:r>
        <w:t xml:space="preserve"> </w:t>
      </w:r>
      <w:r>
        <w:t xml:space="preserve">2.7 kg CO2e</w:t>
      </w:r>
    </w:p>
    <w:p>
      <w:pPr>
        <w:pStyle w:val="BodyText"/>
      </w:pPr>
      <w:r>
        <w:rPr>
          <w:bCs/>
          <w:b/>
        </w:rPr>
        <w:t xml:space="preserve">Total Scope 3 Emissions:</w:t>
      </w:r>
      <w:r>
        <w:t xml:space="preserve"> </w:t>
      </w:r>
      <w:r>
        <w:t xml:space="preserve">67.322 kg CO2e</w:t>
      </w:r>
    </w:p>
    <w:p>
      <w:pPr>
        <w:pStyle w:val="BodyText"/>
      </w:pPr>
      <w:r>
        <w:rPr>
          <w:bCs/>
          <w:b/>
        </w:rPr>
        <w:t xml:space="preserve">Scope 3 Coverage:</w:t>
      </w:r>
      <w:r>
        <w:t xml:space="preserve"> </w:t>
      </w:r>
      <w:r>
        <w:t xml:space="preserve">(67.322 / 70.022) * 100% =</w:t>
      </w:r>
      <w:r>
        <w:t xml:space="preserve"> </w:t>
      </w:r>
      <w:r>
        <w:rPr>
          <w:bCs/>
          <w:b/>
        </w:rPr>
        <w:t xml:space="preserve">96.14%</w:t>
      </w:r>
      <w:r>
        <w:t xml:space="preserve"> </w:t>
      </w:r>
      <w:r>
        <w:t xml:space="preserve">(Meeting the ≥95% requirement).</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5.1 Hotspots Identification</w:t>
      </w:r>
    </w:p>
    <w:p>
      <w:pPr>
        <w:pStyle w:val="FirstParagraph"/>
      </w:pPr>
      <w:r>
        <w:t xml:space="preserve">The primary carbon hotspot for fejwdnidwx is clearly identified in the **Use Phase**, accounting for approximately 78.19% (54.75 kg CO2e) of the total product carbon footprint. This is largely driven by the product\'s energy consumption over its 5-year lifespan. The **Materials Acquisition &amp; Processing** phase is the second most significant contributor at approximately 16.28% (11.4 kg CO2e).</w:t>
      </w:r>
    </w:p>
    <w:bookmarkEnd w:id="45"/>
    <w:bookmarkStart w:id="46" w:name="reliability-statement"/>
    <w:p>
      <w:pPr>
        <w:pStyle w:val="Heading3"/>
      </w:pPr>
      <w:r>
        <w:t xml:space="preserve">5.2 Reliability Statement</w:t>
      </w:r>
    </w:p>
    <w:p>
      <w:pPr>
        <w:pStyle w:val="FirstParagraph"/>
      </w:pPr>
      <w:r>
        <w:t xml:space="preserve">This Product Carbon Footprint analysis relies on a combination of illustrative primary data (derived from user-provided placeholders) and secondary, industry-standard emission factors (e.g., from Ecoinvent and DEFRA). While efforts have been made to use appropriate and recent emission factors, the accuracy of the overall footprint is dependent on the quality and specificity of the input data. Further enhancement of reliability would involve obtaining direct primary data for all material inputs, transportation logistics, and detailed energy mixes specific to ojxwgspvfk\'s operations and suppliers.</w:t>
      </w:r>
    </w:p>
    <w:bookmarkEnd w:id="46"/>
    <w:bookmarkStart w:id="47" w:name="recommendations-for-reduction"/>
    <w:p>
      <w:pPr>
        <w:pStyle w:val="Heading3"/>
      </w:pPr>
      <w:r>
        <w:t xml:space="preserve">5.3 Recommendations for Reduction</w:t>
      </w:r>
    </w:p>
    <w:p>
      <w:pPr>
        <w:numPr>
          <w:ilvl w:val="0"/>
          <w:numId w:val="1013"/>
        </w:numPr>
        <w:pStyle w:val="Compact"/>
      </w:pPr>
      <w:r>
        <w:rPr>
          <w:bCs/>
          <w:b/>
        </w:rPr>
        <w:t xml:space="preserve">Optimize Use Phase Energy Efficiency:</w:t>
      </w:r>
      <w:r>
        <w:t xml:space="preserve"> </w:t>
      </w:r>
      <w:r>
        <w:t xml:space="preserve">Given the dominance of the use phase, prioritize research and development into enhancing the energy efficiency of fejwdnidwx. This could involve using lower-power components, implementing intelligent power management features, or exploring alternative power sources during product use.</w:t>
      </w:r>
    </w:p>
    <w:p>
      <w:pPr>
        <w:numPr>
          <w:ilvl w:val="0"/>
          <w:numId w:val="1013"/>
        </w:numPr>
        <w:pStyle w:val="Compact"/>
      </w:pPr>
      <w:r>
        <w:rPr>
          <w:bCs/>
          <w:b/>
        </w:rPr>
        <w:t xml:space="preserve">Source Low-Carbon Materials:</w:t>
      </w:r>
      <w:r>
        <w:t xml:space="preserve"> </w:t>
      </w:r>
      <w:r>
        <w:t xml:space="preserve">Investigate opportunities to procure lower-carbon intensity materials for steel, plastics, and batteries. This includes exploring suppliers with higher renewable energy integration in their production, or utilizing recycled content with proven lower footprints.</w:t>
      </w:r>
    </w:p>
    <w:p>
      <w:pPr>
        <w:numPr>
          <w:ilvl w:val="0"/>
          <w:numId w:val="1013"/>
        </w:numPr>
        <w:pStyle w:val="Compact"/>
      </w:pPr>
      <w:r>
        <w:rPr>
          <w:bCs/>
          <w:b/>
        </w:rPr>
        <w:t xml:space="preserve">Enhance Renewable Energy in Manufacturing:</w:t>
      </w:r>
      <w:r>
        <w:t xml:space="preserve"> </w:t>
      </w:r>
      <w:r>
        <w:t xml:space="preserve">While 70% renewable energy usage is commendable, increasing this percentage further towards 100% can directly reduce Scope 2 emissions, provided reliable certification is in place.</w:t>
      </w:r>
    </w:p>
    <w:p>
      <w:pPr>
        <w:numPr>
          <w:ilvl w:val="0"/>
          <w:numId w:val="1013"/>
        </w:numPr>
        <w:pStyle w:val="Compact"/>
      </w:pPr>
      <w:r>
        <w:rPr>
          <w:bCs/>
          <w:b/>
        </w:rPr>
        <w:t xml:space="preserve">Improve Logistics Efficiency:</w:t>
      </w:r>
      <w:r>
        <w:t xml:space="preserve"> </w:t>
      </w:r>
      <w:r>
        <w:t xml:space="preserve">Optimize transportation routes and modes for both upstream and downstream logistics. Consider consolidating shipments, shifting to lower-emission transport modes (e.g., rail or sea for bulk materials where feasible for Europe-focused supply chain), and exploring electric vehicles for last-mile delivery where infrastructure allows.</w:t>
      </w:r>
    </w:p>
    <w:p>
      <w:pPr>
        <w:numPr>
          <w:ilvl w:val="0"/>
          <w:numId w:val="1013"/>
        </w:numPr>
        <w:pStyle w:val="Compact"/>
      </w:pPr>
      <w:r>
        <w:rPr>
          <w:bCs/>
          <w:b/>
        </w:rPr>
        <w:t xml:space="preserve">Strengthen Circularity Initiatives:</w:t>
      </w:r>
      <w:r>
        <w:t xml:space="preserve"> </w:t>
      </w:r>
      <w:r>
        <w:t xml:space="preserve">Continue to expand and promote circular and take-back programs to maximize product longevity, component reuse, and high-quality recycling. This can lead to avoided emissions by displacing virgin material production.</w:t>
      </w:r>
    </w:p>
    <w:p>
      <w:r>
        <w:pict>
          <v:rect style="width:0;height:1.5pt" o:hralign="center" o:hrstd="t" o:hr="t"/>
        </w:pict>
      </w:r>
    </w:p>
    <w:p>
      <w:pPr>
        <w:pStyle w:val="FirstParagraph"/>
      </w:pPr>
      <w:r>
        <w:t xml:space="preserve">Confidential - Internal Use Only</w:t>
      </w:r>
    </w:p>
    <w:p>
      <w:pPr>
        <w:pStyle w:val="BodyText"/>
      </w:pPr>
      <w:r>
        <w:t xml:space="preserve">Page [Page Number placeholder]</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fejwdnidwx</dc:title>
  <dc:creator/>
  <dc:description>High-detail Product Carbon Footprint (PCF) analysis for product fejwdnidwx by ojxwgspvfk, performed by htzxqdnqrd, Senior Sustainability Consultant, adhering to GHG Protocol and 2026 LSR Update.</dc:description>
  <dc:language>en</dc:language>
  <cp:keywords/>
  <dcterms:created xsi:type="dcterms:W3CDTF">2026-05-30T22:06:51Z</dcterms:created>
  <dcterms:modified xsi:type="dcterms:W3CDTF">2026-05-30T22:06:51Z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