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ezoxgyqnqh</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ezoxgyqnqh</w:t>
      </w:r>
    </w:p>
    <w:p>
      <w:pPr>
        <w:pStyle w:val="BodyText"/>
      </w:pPr>
      <w:r>
        <w:rPr>
          <w:bCs/>
          <w:b/>
        </w:rPr>
        <w:t xml:space="preserve">Company Name:</w:t>
      </w:r>
      <w:r>
        <w:t xml:space="preserve"> </w:t>
      </w:r>
      <w:r>
        <w:t xml:space="preserve">xvzkvptogw</w:t>
      </w:r>
    </w:p>
    <w:p>
      <w:pPr>
        <w:pStyle w:val="BodyText"/>
      </w:pPr>
      <w:r>
        <w:rPr>
          <w:bCs/>
          <w:b/>
        </w:rPr>
        <w:t xml:space="preserve">Senior Sustainability Consultant:</w:t>
      </w:r>
      <w:r>
        <w:t xml:space="preserve"> </w:t>
      </w:r>
      <w:r>
        <w:t xml:space="preserve">lnqrymxmme</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Illustrative data has been used where specific figures were not provided to facilitate a comprehensive analysis.</w:t>
      </w:r>
    </w:p>
    <w:bookmarkEnd w:id="20"/>
    <w:bookmarkStart w:id="21" w:name="product-carbon-footprint-analysis"/>
    <w:p>
      <w:pPr>
        <w:pStyle w:val="Heading1"/>
      </w:pPr>
      <w:r>
        <w:t xml:space="preserve">Product Carbon Footprint Analysis</w:t>
      </w:r>
    </w:p>
    <w:p>
      <w:pPr>
        <w:pStyle w:val="FirstParagraph"/>
      </w:pPr>
      <w:r>
        <w:t xml:space="preserve">Generated Date: May 25,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ezoxgyqnqh</w:t>
      </w:r>
      <w:r>
        <w:t xml:space="preserve">, a product manufactured by</w:t>
      </w:r>
      <w:r>
        <w:t xml:space="preserve"> </w:t>
      </w:r>
      <w:r>
        <w:rPr>
          <w:bCs/>
          <w:b/>
        </w:rPr>
        <w:t xml:space="preserve">xvzkvptogw</w:t>
      </w:r>
      <w:r>
        <w:t xml:space="preserve">. Conducted by Senior Sustainability Consultant</w:t>
      </w:r>
      <w:r>
        <w:t xml:space="preserve"> </w:t>
      </w:r>
      <w:r>
        <w:rPr>
          <w:bCs/>
          <w:b/>
        </w:rPr>
        <w:t xml:space="preserve">lnqrymxmme</w:t>
      </w:r>
      <w:r>
        <w:t xml:space="preserve">, this assessment adheres strictly to the GHG Protocol standards, incorporating the 2026 Land Sector and Removals (LSR) update and ensuring robust Scope 3 compliance. The analysis covers the lifecycle stages from raw material acquisition to end-of-life, providing insights into the carbon emission hotspots and recommendations for reduction.</w:t>
      </w:r>
    </w:p>
    <w:p>
      <w:pPr>
        <w:pStyle w:val="BodyText"/>
      </w:pPr>
      <w:r>
        <w:t xml:space="preserve">The total Product Carbon Footprint for one functional unit of ezoxgyqnqh is calculated to be</w:t>
      </w:r>
      <w:r>
        <w:t xml:space="preserve"> </w:t>
      </w:r>
      <w:r>
        <w:rPr>
          <w:bCs/>
          <w:b/>
        </w:rPr>
        <w:t xml:space="preserve">88.255 kgCO2e</w:t>
      </w:r>
      <w:r>
        <w:t xml:space="preserve">. The Use Phase contributes the most significant portion of emissions, followed by Material Acquisition and Pre-processing. Circular economy initiatives, such as high recyclability and take-back programs, demonstrate a notable negative (beneficial) impact at the End-of-Life stage, reducing the overall footprint.</w:t>
      </w:r>
    </w:p>
    <w:p>
      <w:r>
        <w:pict>
          <v:rect style="width:0;height:1.5pt" o:hralign="center" o:hrstd="t" o:hr="t"/>
        </w:pict>
      </w:r>
    </w:p>
    <w:bookmarkEnd w:id="22"/>
    <w:bookmarkStart w:id="28" w:name="definition-of-scope"/>
    <w:p>
      <w:pPr>
        <w:pStyle w:val="Heading2"/>
      </w:pPr>
      <w:r>
        <w:t xml:space="preserve">1. Definition of Scope</w:t>
      </w:r>
    </w:p>
    <w:bookmarkStart w:id="23"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ezoxgyqnqh</w:t>
      </w:r>
      <w:r>
        <w:t xml:space="preserve">. This unit serves as the reference basis for quantifying all inputs and outputs throughout the product\'s lifecycle.</w:t>
      </w:r>
    </w:p>
    <w:bookmarkEnd w:id="23"/>
    <w:bookmarkStart w:id="24" w:name="system-boundary"/>
    <w:p>
      <w:pPr>
        <w:pStyle w:val="Heading3"/>
      </w:pPr>
      <w:r>
        <w:t xml:space="preserve">1.2. System Boundary</w:t>
      </w:r>
    </w:p>
    <w:p>
      <w:pPr>
        <w:pStyle w:val="FirstParagraph"/>
      </w:pPr>
      <w:r>
        <w:t xml:space="preserve">The system boundary for this PCF analysis is set as</w:t>
      </w:r>
      <w:r>
        <w:t xml:space="preserve"> </w:t>
      </w:r>
      <w:r>
        <w:rPr>
          <w:bCs/>
          <w:b/>
        </w:rPr>
        <w:t xml:space="preserve">"factory_gate"</w:t>
      </w:r>
      <w:r>
        <w:t xml:space="preserve">, which implies a cradle-to-gate assessment for upstream activities (raw materials, manufacturing). However, to provide a comprehensive view as per the request for a full lifecycle analysis, the report extends beyond the factory gate to include transport, use phase, and end-of-life, making it a "cradle-to-grave" analysis with a "factory_gate" focus on the production stage. This includes:</w:t>
      </w:r>
    </w:p>
    <w:p>
      <w:pPr>
        <w:numPr>
          <w:ilvl w:val="0"/>
          <w:numId w:val="1001"/>
        </w:numPr>
        <w:pStyle w:val="Compact"/>
      </w:pPr>
      <w:r>
        <w:t xml:space="preserve">Raw Material Acquisition and Pre-processing</w:t>
      </w:r>
    </w:p>
    <w:p>
      <w:pPr>
        <w:numPr>
          <w:ilvl w:val="0"/>
          <w:numId w:val="1001"/>
        </w:numPr>
        <w:pStyle w:val="Compact"/>
      </w:pPr>
      <w:r>
        <w:t xml:space="preserve">Manufacturing/Production (within the factory gate)</w:t>
      </w:r>
    </w:p>
    <w:p>
      <w:pPr>
        <w:numPr>
          <w:ilvl w:val="0"/>
          <w:numId w:val="1001"/>
        </w:numPr>
        <w:pStyle w:val="Compact"/>
      </w:pPr>
      <w:r>
        <w:t xml:space="preserve">Transport and Distribution (both upstream to the factory and downstream to the customer)</w:t>
      </w:r>
    </w:p>
    <w:p>
      <w:pPr>
        <w:numPr>
          <w:ilvl w:val="0"/>
          <w:numId w:val="1001"/>
        </w:numPr>
        <w:pStyle w:val="Compact"/>
      </w:pPr>
      <w:r>
        <w:t xml:space="preserve">Use Phase of the product</w:t>
      </w:r>
    </w:p>
    <w:p>
      <w:pPr>
        <w:numPr>
          <w:ilvl w:val="0"/>
          <w:numId w:val="1001"/>
        </w:numPr>
        <w:pStyle w:val="Compact"/>
      </w:pPr>
      <w:r>
        <w:t xml:space="preserve">End-of-Life treatment</w:t>
      </w:r>
    </w:p>
    <w:bookmarkEnd w:id="24"/>
    <w:bookmarkStart w:id="25" w:name="geographic-scope"/>
    <w:p>
      <w:pPr>
        <w:pStyle w:val="Heading3"/>
      </w:pPr>
      <w:r>
        <w:t xml:space="preserve">1.3. Geographic Scope</w:t>
      </w:r>
    </w:p>
    <w:p>
      <w:pPr>
        <w:pStyle w:val="FirstParagraph"/>
      </w:pPr>
      <w:r>
        <w:t xml:space="preserve">The geographic scope covers the entire product lifecycle with a focus on specific regions:</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significant material sourcing and/or component manufacturing in Europe, transported to China for final assembly, and then distributed to Europe).</w:t>
      </w:r>
    </w:p>
    <w:bookmarkEnd w:id="25"/>
    <w:bookmarkStart w:id="26" w:name="allocation"/>
    <w:p>
      <w:pPr>
        <w:pStyle w:val="Heading3"/>
      </w:pPr>
      <w:r>
        <w:t xml:space="preserve">1.4. Allocation</w:t>
      </w:r>
    </w:p>
    <w:p>
      <w:pPr>
        <w:pStyle w:val="FirstParagraph"/>
      </w:pPr>
      <w:r>
        <w:t xml:space="preserve">Allocation of environmental impacts for co-products or multi-functional processes is performed based on physical parameters (e.g., mass, energy content) where applicable. For recycling and circular economy programs, the "closed-loop" approach is employed, providing avoided burden credits for recycled materials and take-back programs at the End-of-Life stage.</w:t>
      </w:r>
    </w:p>
    <w:bookmarkEnd w:id="26"/>
    <w:bookmarkStart w:id="27" w:name="accounting-standard"/>
    <w:p>
      <w:pPr>
        <w:pStyle w:val="Heading3"/>
      </w:pPr>
      <w:r>
        <w:t xml:space="preserve">1.5. Accounting Standard</w:t>
      </w:r>
    </w:p>
    <w:p>
      <w:pPr>
        <w:pStyle w:val="FirstParagraph"/>
      </w:pPr>
      <w:r>
        <w:t xml:space="preserve">This Product Carbon Footprint analysis strictly adheres to the</w:t>
      </w:r>
      <w:r>
        <w:t xml:space="preserve"> </w:t>
      </w:r>
      <w:r>
        <w:rPr>
          <w:bCs/>
          <w:b/>
        </w:rPr>
        <w:t xml:space="preserve">GHG Protocol Product Standard</w:t>
      </w:r>
      <w:r>
        <w:t xml:space="preserve">. Emissions are categorized into Scope 1 (direct emissions), Scope 2 (indirect emissions from purchased energy), and Scope 3 (all other indirect emissions across the value chain).</w:t>
      </w:r>
    </w:p>
    <w:p>
      <w:r>
        <w:pict>
          <v:rect style="width:0;height:1.5pt" o:hralign="center" o:hrstd="t" o:hr="t"/>
        </w:pict>
      </w:r>
    </w:p>
    <w:bookmarkEnd w:id="27"/>
    <w:bookmarkEnd w:id="28"/>
    <w:bookmarkStart w:id="34" w:name="Xf410d4eed3d48b152d6bc870c99381eea04e456"/>
    <w:p>
      <w:pPr>
        <w:pStyle w:val="Heading2"/>
      </w:pPr>
      <w:r>
        <w:t xml:space="preserve">2. Lifecycle Inventory Mapping (LCI Stages) &amp; 3. Data Collection</w:t>
      </w:r>
    </w:p>
    <w:p>
      <w:pPr>
        <w:pStyle w:val="FirstParagraph"/>
      </w:pPr>
      <w:r>
        <w:t xml:space="preserve">This section details the inputs and outputs across the product lifecycle stages, with specific data points used for calculation. Where specific data was indicated by a placeholder (e.g., `lyrdtsfx`, `lnyliqxtpd`), plausible illustrative values have been generated for demonstration purposes, explicitly marked as such.</w:t>
      </w:r>
    </w:p>
    <w:bookmarkStart w:id="29" w:name="Xff31e690bfe279af69cf88b9219fe5d56042afb"/>
    <w:p>
      <w:pPr>
        <w:pStyle w:val="Heading3"/>
      </w:pPr>
      <w:r>
        <w:t xml:space="preserve">2.1. Raw Material Acquisition &amp; Pre-processing (Scope 3 - Upstream)</w:t>
      </w:r>
    </w:p>
    <w:p>
      <w:pPr>
        <w:pStyle w:val="FirstParagraph"/>
      </w:pPr>
      <w:r>
        <w:t xml:space="preserve">The following detailed Bill of Materials (BOM) provides the primary data for material impact calculation. The \'Total Carbon\' values are used directly for their respective material contributions, reflecting emissions from extraction, processing, and manufacturing of raw materials into components.</w:t>
      </w:r>
    </w:p>
    <w:p>
      <w:pPr>
        <w:pStyle w:val="BodyText"/>
      </w:pPr>
      <w:r>
        <w:rPr>
          <w:bCs/>
          <w:b/>
        </w:rPr>
        <w:t xml:space="preserve">Detailed Bill of Materials (BOM) for ezoxgyqnqh (Illustrative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w:t>
            </w:r>
          </w:p>
        </w:tc>
        <w:tc>
          <w:tcPr/>
          <w:p>
            <w:pPr>
              <w:pStyle w:val="Compact"/>
              <w:jc w:val="left"/>
            </w:pPr>
            <w:r>
              <w:t xml:space="preserve">0.5</w:t>
            </w:r>
          </w:p>
        </w:tc>
        <w:tc>
          <w:tcPr/>
          <w:p>
            <w:pPr>
              <w:pStyle w:val="Compact"/>
              <w:jc w:val="left"/>
            </w:pPr>
            <w:r>
              <w:t xml:space="preserve">kg</w:t>
            </w:r>
          </w:p>
        </w:tc>
        <w:tc>
          <w:tcPr/>
          <w:p>
            <w:pPr>
              <w:pStyle w:val="Compact"/>
              <w:jc w:val="left"/>
            </w:pPr>
            <w:r>
              <w:t xml:space="preserve">2.8</w:t>
            </w:r>
          </w:p>
        </w:tc>
        <w:tc>
          <w:tcPr/>
          <w:p>
            <w:pPr>
              <w:pStyle w:val="Compact"/>
              <w:jc w:val="left"/>
            </w:pPr>
            <w:r>
              <w:t xml:space="preserve">1.40</w:t>
            </w:r>
          </w:p>
        </w:tc>
      </w:tr>
      <w:tr>
        <w:tc>
          <w:tcPr/>
          <w:p>
            <w:pPr>
              <w:pStyle w:val="Compact"/>
              <w:jc w:val="left"/>
            </w:pPr>
            <w:r>
              <w:t xml:space="preserve">2</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3</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6.0</w:t>
            </w:r>
          </w:p>
        </w:tc>
        <w:tc>
          <w:tcPr/>
          <w:p>
            <w:pPr>
              <w:pStyle w:val="Compact"/>
              <w:jc w:val="left"/>
            </w:pPr>
            <w:r>
              <w:t xml:space="preserve">0.30</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3.5</w:t>
            </w:r>
          </w:p>
        </w:tc>
        <w:tc>
          <w:tcPr/>
          <w:p>
            <w:pPr>
              <w:pStyle w:val="Compact"/>
              <w:jc w:val="left"/>
            </w:pPr>
            <w:r>
              <w:t xml:space="preserve">3.50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r>
        <w:tc>
          <w:tcPr>
            <w:gridSpan w:val="7"/>
          </w:tcPr>
          <w:p>
            <w:pPr>
              <w:pStyle w:val="Compact"/>
              <w:jc w:val="left"/>
            </w:pPr>
            <w:r>
              <w:t xml:space="preserve">Total Material Carbon Impact</w:t>
            </w:r>
          </w:p>
        </w:tc>
        <w:tc>
          <w:tcPr/>
          <w:p>
            <w:pPr>
              <w:pStyle w:val="Compact"/>
              <w:jc w:val="left"/>
            </w:pPr>
            <w:r>
              <w:t xml:space="preserve">9.12</w:t>
            </w:r>
          </w:p>
        </w:tc>
      </w:tr>
    </w:tbl>
    <w:bookmarkEnd w:id="29"/>
    <w:bookmarkStart w:id="30" w:name="manufacturingproduction-factory-gate"/>
    <w:p>
      <w:pPr>
        <w:pStyle w:val="Heading3"/>
      </w:pPr>
      <w:r>
        <w:t xml:space="preserve">2.2. Manufacturing/Production (Factory Gate)</w:t>
      </w:r>
    </w:p>
    <w:p>
      <w:pPr>
        <w:pStyle w:val="FirstParagraph"/>
      </w:pPr>
      <w:r>
        <w:t xml:space="preserve">The production phase occurs in China. Energy consumption for manufacturing one unit of ezoxgyqnqh is detailed below:</w:t>
      </w:r>
    </w:p>
    <w:p>
      <w:pPr>
        <w:numPr>
          <w:ilvl w:val="0"/>
          <w:numId w:val="1003"/>
        </w:numPr>
        <w:pStyle w:val="Compact"/>
      </w:pPr>
      <w:r>
        <w:rPr>
          <w:bCs/>
          <w:b/>
        </w:rPr>
        <w:t xml:space="preserve">Energy Intensity (kWh/unit):</w:t>
      </w:r>
      <w:r>
        <w:t xml:space="preserve"> </w:t>
      </w:r>
      <w:r>
        <w:t xml:space="preserve">15 kWh/unit (Illustrative `rosvvktium`)</w:t>
      </w:r>
    </w:p>
    <w:p>
      <w:pPr>
        <w:numPr>
          <w:ilvl w:val="0"/>
          <w:numId w:val="1003"/>
        </w:numPr>
        <w:pStyle w:val="Compact"/>
      </w:pPr>
      <w:r>
        <w:rPr>
          <w:bCs/>
          <w:b/>
        </w:rPr>
        <w:t xml:space="preserve">Renewable Energy Usage:</w:t>
      </w:r>
      <w:r>
        <w:t xml:space="preserve"> </w:t>
      </w:r>
      <w:r>
        <w:t xml:space="preserve">60% (Illustrative `yxyzglmixv`)</w:t>
      </w:r>
    </w:p>
    <w:p>
      <w:pPr>
        <w:numPr>
          <w:ilvl w:val="0"/>
          <w:numId w:val="1003"/>
        </w:numPr>
        <w:pStyle w:val="Compact"/>
      </w:pPr>
      <w:r>
        <w:rPr>
          <w:bCs/>
          <w:b/>
        </w:rPr>
        <w:t xml:space="preserve">Grid Electricity Mix (China, illustrative EF):</w:t>
      </w:r>
      <w:r>
        <w:t xml:space="preserve"> </w:t>
      </w:r>
      <w:r>
        <w:t xml:space="preserve">0.6 kgCO2e/kWh [cite: example, IEA 2023 average]</w:t>
      </w:r>
    </w:p>
    <w:p>
      <w:pPr>
        <w:numPr>
          <w:ilvl w:val="0"/>
          <w:numId w:val="1003"/>
        </w:numPr>
        <w:pStyle w:val="Compact"/>
      </w:pPr>
      <w:r>
        <w:rPr>
          <w:bCs/>
          <w:b/>
        </w:rPr>
        <w:t xml:space="preserve">Renewable Electricity (Illustrative EF):</w:t>
      </w:r>
      <w:r>
        <w:t xml:space="preserve"> </w:t>
      </w:r>
      <w:r>
        <w:t xml:space="preserve">0.01 kgCO2e/kWh</w:t>
      </w:r>
    </w:p>
    <w:bookmarkEnd w:id="30"/>
    <w:bookmarkStart w:id="31" w:name="Xc78fa9e95fdc5a4841e5055035e97eb6a5c3c11"/>
    <w:p>
      <w:pPr>
        <w:pStyle w:val="Heading3"/>
      </w:pPr>
      <w:r>
        <w:t xml:space="preserve">2.3. Transport &amp; Distribution (Scope 3 - Upstream &amp; Downstream)</w:t>
      </w:r>
    </w:p>
    <w:p>
      <w:pPr>
        <w:pStyle w:val="FirstParagraph"/>
      </w:pPr>
      <w:r>
        <w:t xml:space="preserve">Logistics data for both inbound supply chain and outbound distribution:</w:t>
      </w:r>
    </w:p>
    <w:p>
      <w:pPr>
        <w:numPr>
          <w:ilvl w:val="0"/>
          <w:numId w:val="1004"/>
        </w:numPr>
        <w:pStyle w:val="Compact"/>
      </w:pPr>
      <w:r>
        <w:rPr>
          <w:bCs/>
          <w:b/>
        </w:rPr>
        <w:t xml:space="preserve">Product Weight:</w:t>
      </w:r>
      <w:r>
        <w:t xml:space="preserve"> </w:t>
      </w:r>
      <w:r>
        <w:t xml:space="preserve">1.0 kg (illustrative for transport calculations)</w:t>
      </w:r>
    </w:p>
    <w:p>
      <w:pPr>
        <w:numPr>
          <w:ilvl w:val="0"/>
          <w:numId w:val="1004"/>
        </w:numPr>
        <w:pStyle w:val="Compact"/>
      </w:pPr>
      <w:r>
        <w:rPr>
          <w:bCs/>
          <w:b/>
        </w:rPr>
        <w:t xml:space="preserve">Upstream Transport (Components to China Factory):</w:t>
      </w:r>
    </w:p>
    <w:p>
      <w:pPr>
        <w:numPr>
          <w:ilvl w:val="1"/>
          <w:numId w:val="1005"/>
        </w:numPr>
        <w:pStyle w:val="Compact"/>
      </w:pPr>
      <w:r>
        <w:rPr>
          <w:bCs/>
          <w:b/>
        </w:rPr>
        <w:t xml:space="preserve">Mode:</w:t>
      </w:r>
      <w:r>
        <w:t xml:space="preserve"> </w:t>
      </w:r>
      <w:r>
        <w:t xml:space="preserve">Road Freight (Heavy Duty Truck, &gt;3.5-7.5 tonne) (Illustrative `Select Mode`)</w:t>
      </w:r>
    </w:p>
    <w:p>
      <w:pPr>
        <w:numPr>
          <w:ilvl w:val="1"/>
          <w:numId w:val="1005"/>
        </w:numPr>
        <w:pStyle w:val="Compact"/>
      </w:pPr>
      <w:r>
        <w:rPr>
          <w:bCs/>
          <w:b/>
        </w:rPr>
        <w:t xml:space="preserve">Distance:</w:t>
      </w:r>
      <w:r>
        <w:t xml:space="preserve"> </w:t>
      </w:r>
      <w:r>
        <w:t xml:space="preserve">8,000 km (Illustrative `lnyliqxtpd`)</w:t>
      </w:r>
    </w:p>
    <w:p>
      <w:pPr>
        <w:numPr>
          <w:ilvl w:val="1"/>
          <w:numId w:val="1005"/>
        </w:numPr>
        <w:pStyle w:val="Compact"/>
      </w:pPr>
      <w:r>
        <w:rPr>
          <w:bCs/>
          <w:b/>
        </w:rPr>
        <w:t xml:space="preserve">Emission Factor:</w:t>
      </w:r>
      <w:r>
        <w:t xml:space="preserve"> </w:t>
      </w:r>
      <w:r>
        <w:t xml:space="preserve">100 gCO2e/tkm [cite: example, DEFRA 2023]</w:t>
      </w:r>
    </w:p>
    <w:p>
      <w:pPr>
        <w:numPr>
          <w:ilvl w:val="0"/>
          <w:numId w:val="1004"/>
        </w:numPr>
        <w:pStyle w:val="Compact"/>
      </w:pPr>
      <w:r>
        <w:rPr>
          <w:bCs/>
          <w:b/>
        </w:rPr>
        <w:t xml:space="preserve">Downstream Transport (Factory to European Distribution):</w:t>
      </w:r>
    </w:p>
    <w:p>
      <w:pPr>
        <w:numPr>
          <w:ilvl w:val="1"/>
          <w:numId w:val="1006"/>
        </w:numPr>
        <w:pStyle w:val="Compact"/>
      </w:pPr>
      <w:r>
        <w:rPr>
          <w:bCs/>
          <w:b/>
        </w:rPr>
        <w:t xml:space="preserve">Mode:</w:t>
      </w:r>
      <w:r>
        <w:t xml:space="preserve"> </w:t>
      </w:r>
      <w:r>
        <w:t xml:space="preserve">Road Freight (Heavy Duty Truck, &gt;3.5-7.5 tonne) (Illustrative `Select Mode`)</w:t>
      </w:r>
    </w:p>
    <w:p>
      <w:pPr>
        <w:numPr>
          <w:ilvl w:val="1"/>
          <w:numId w:val="1006"/>
        </w:numPr>
        <w:pStyle w:val="Compact"/>
      </w:pPr>
      <w:r>
        <w:rPr>
          <w:bCs/>
          <w:b/>
        </w:rPr>
        <w:t xml:space="preserve">Distance:</w:t>
      </w:r>
      <w:r>
        <w:t xml:space="preserve"> </w:t>
      </w:r>
      <w:r>
        <w:t xml:space="preserve">10,000 km (Illustrative, representing long-haul transport)</w:t>
      </w:r>
    </w:p>
    <w:p>
      <w:pPr>
        <w:numPr>
          <w:ilvl w:val="1"/>
          <w:numId w:val="1006"/>
        </w:numPr>
        <w:pStyle w:val="Compact"/>
      </w:pPr>
      <w:r>
        <w:rPr>
          <w:bCs/>
          <w:b/>
        </w:rPr>
        <w:t xml:space="preserve">Emission Factor:</w:t>
      </w:r>
      <w:r>
        <w:t xml:space="preserve"> </w:t>
      </w:r>
      <w:r>
        <w:t xml:space="preserve">100 gCO2e/tkm [cite: example, DEFRA 2023]</w:t>
      </w:r>
    </w:p>
    <w:p>
      <w:pPr>
        <w:numPr>
          <w:ilvl w:val="0"/>
          <w:numId w:val="1004"/>
        </w:numPr>
        <w:pStyle w:val="Compact"/>
      </w:pPr>
      <w:r>
        <w:rPr>
          <w:bCs/>
          <w:b/>
        </w:rPr>
        <w:t xml:space="preserve">Last-Mile Delivery (to Customer):</w:t>
      </w:r>
    </w:p>
    <w:p>
      <w:pPr>
        <w:numPr>
          <w:ilvl w:val="1"/>
          <w:numId w:val="1007"/>
        </w:numPr>
        <w:pStyle w:val="Compact"/>
      </w:pPr>
      <w:r>
        <w:rPr>
          <w:bCs/>
          <w:b/>
        </w:rPr>
        <w:t xml:space="preserve">Channel:</w:t>
      </w:r>
      <w:r>
        <w:t xml:space="preserve"> </w:t>
      </w:r>
      <w:r>
        <w:t xml:space="preserve">Road Delivery (Light Commercial Vehicle, &lt;3.5 tonne) (Illustrative `Delivery Type`)</w:t>
      </w:r>
    </w:p>
    <w:p>
      <w:pPr>
        <w:numPr>
          <w:ilvl w:val="1"/>
          <w:numId w:val="1007"/>
        </w:numPr>
        <w:pStyle w:val="Compact"/>
      </w:pPr>
      <w:r>
        <w:rPr>
          <w:bCs/>
          <w:b/>
        </w:rPr>
        <w:t xml:space="preserve">Distance:</w:t>
      </w:r>
      <w:r>
        <w:t xml:space="preserve"> </w:t>
      </w:r>
      <w:r>
        <w:t xml:space="preserve">100 km (Illustrative)</w:t>
      </w:r>
    </w:p>
    <w:p>
      <w:pPr>
        <w:numPr>
          <w:ilvl w:val="1"/>
          <w:numId w:val="1007"/>
        </w:numPr>
        <w:pStyle w:val="Compact"/>
      </w:pPr>
      <w:r>
        <w:rPr>
          <w:bCs/>
          <w:b/>
        </w:rPr>
        <w:t xml:space="preserve">Emission Factor:</w:t>
      </w:r>
      <w:r>
        <w:t xml:space="preserve"> </w:t>
      </w:r>
      <w:r>
        <w:t xml:space="preserve">200 gCO2e/tkm [cite: example, DEFRA 2023]</w:t>
      </w:r>
    </w:p>
    <w:bookmarkEnd w:id="31"/>
    <w:bookmarkStart w:id="32" w:name="use-phase-scope-3---downstream"/>
    <w:p>
      <w:pPr>
        <w:pStyle w:val="Heading3"/>
      </w:pPr>
      <w:r>
        <w:t xml:space="preserve">2.4. Use Phase (Scope 3 - Downstream)</w:t>
      </w:r>
    </w:p>
    <w:p>
      <w:pPr>
        <w:pStyle w:val="FirstParagraph"/>
      </w:pPr>
      <w:r>
        <w:t xml:space="preserve">The environmental impact during the product\'s active use by the consumer:</w:t>
      </w:r>
    </w:p>
    <w:p>
      <w:pPr>
        <w:numPr>
          <w:ilvl w:val="0"/>
          <w:numId w:val="1008"/>
        </w:numPr>
        <w:pStyle w:val="Compact"/>
      </w:pPr>
      <w:r>
        <w:rPr>
          <w:bCs/>
          <w:b/>
        </w:rPr>
        <w:t xml:space="preserve">Product Lifespan:</w:t>
      </w:r>
      <w:r>
        <w:t xml:space="preserve"> </w:t>
      </w:r>
      <w:r>
        <w:t xml:space="preserve">5 years (Illustrative `ttpzedfrsy`)</w:t>
      </w:r>
    </w:p>
    <w:p>
      <w:pPr>
        <w:numPr>
          <w:ilvl w:val="0"/>
          <w:numId w:val="1008"/>
        </w:numPr>
        <w:pStyle w:val="Compact"/>
      </w:pPr>
      <w:r>
        <w:rPr>
          <w:bCs/>
          <w:b/>
        </w:rPr>
        <w:t xml:space="preserve">Energy Consumption in Use:</w:t>
      </w:r>
      <w:r>
        <w:t xml:space="preserve"> </w:t>
      </w:r>
      <w:r>
        <w:t xml:space="preserve">50 kWh/year (Illustrative `oitzqdhlqn`)</w:t>
      </w:r>
    </w:p>
    <w:p>
      <w:pPr>
        <w:numPr>
          <w:ilvl w:val="0"/>
          <w:numId w:val="1008"/>
        </w:numPr>
        <w:pStyle w:val="Compact"/>
      </w:pPr>
      <w:r>
        <w:rPr>
          <w:bCs/>
          <w:b/>
        </w:rPr>
        <w:t xml:space="preserve">Electricity Grid Mix (Europe average, illustrative EF):</w:t>
      </w:r>
      <w:r>
        <w:t xml:space="preserve"> </w:t>
      </w:r>
      <w:r>
        <w:t xml:space="preserve">0.3 kgCO2e/kWh (Illustrative)</w:t>
      </w:r>
    </w:p>
    <w:bookmarkEnd w:id="32"/>
    <w:bookmarkStart w:id="33" w:name="end-of-life-eol-scope-3---downstream"/>
    <w:p>
      <w:pPr>
        <w:pStyle w:val="Heading3"/>
      </w:pPr>
      <w:r>
        <w:t xml:space="preserve">2.5. End-of-Life (EoL) (Scope 3 - Downstream)</w:t>
      </w:r>
    </w:p>
    <w:p>
      <w:pPr>
        <w:pStyle w:val="FirstParagraph"/>
      </w:pPr>
      <w:r>
        <w:t xml:space="preserve">Scenarios for the product\'s disposal and material recovery:</w:t>
      </w:r>
    </w:p>
    <w:p>
      <w:pPr>
        <w:numPr>
          <w:ilvl w:val="0"/>
          <w:numId w:val="1009"/>
        </w:numPr>
        <w:pStyle w:val="Compact"/>
      </w:pPr>
      <w:r>
        <w:rPr>
          <w:bCs/>
          <w:b/>
        </w:rPr>
        <w:t xml:space="preserve">Recyclability Percentage:</w:t>
      </w:r>
      <w:r>
        <w:t xml:space="preserve"> </w:t>
      </w:r>
      <w:r>
        <w:t xml:space="preserve">75% (Illustrative `gjnrglenvp`)</w:t>
      </w:r>
    </w:p>
    <w:p>
      <w:pPr>
        <w:numPr>
          <w:ilvl w:val="0"/>
          <w:numId w:val="1009"/>
        </w:numPr>
        <w:pStyle w:val="Compact"/>
      </w:pPr>
      <w:r>
        <w:rPr>
          <w:bCs/>
          <w:b/>
        </w:rPr>
        <w:t xml:space="preserve">Circular/Take-back Programs:</w:t>
      </w:r>
      <w:r>
        <w:t xml:space="preserve"> </w:t>
      </w:r>
      <w:r>
        <w:t xml:space="preserve">xvzkvptogw operates a comprehensive product take-back and refurbishment program in key European markets, extending product life and recovering materials. (Illustrative `xnzfhtpdxu`)</w:t>
      </w:r>
    </w:p>
    <w:p>
      <w:pPr>
        <w:numPr>
          <w:ilvl w:val="0"/>
          <w:numId w:val="1009"/>
        </w:numPr>
        <w:pStyle w:val="Compact"/>
      </w:pPr>
      <w:r>
        <w:rPr>
          <w:bCs/>
          <w:b/>
        </w:rPr>
        <w:t xml:space="preserve">Illustrative EoL Emission Factor (Landfill/Incineration):</w:t>
      </w:r>
      <w:r>
        <w:t xml:space="preserve"> </w:t>
      </w:r>
      <w:r>
        <w:t xml:space="preserve">0.5 kgCO2e/kg for non-recycled waste.</w:t>
      </w:r>
    </w:p>
    <w:p>
      <w:pPr>
        <w:numPr>
          <w:ilvl w:val="0"/>
          <w:numId w:val="1009"/>
        </w:numPr>
        <w:pStyle w:val="Compact"/>
      </w:pPr>
      <w:r>
        <w:rPr>
          <w:bCs/>
          <w:b/>
        </w:rPr>
        <w:t xml:space="preserve">Illustrative Avoided Emission Factor (Recycling Credit):</w:t>
      </w:r>
      <w:r>
        <w:t xml:space="preserve"> </w:t>
      </w:r>
      <w:r>
        <w:t xml:space="preserve">-2.0 kgCO2e/kg for recycled materials.</w:t>
      </w:r>
    </w:p>
    <w:p>
      <w:r>
        <w:pict>
          <v:rect style="width:0;height:1.5pt" o:hralign="center" o:hrstd="t" o:hr="t"/>
        </w:pict>
      </w:r>
    </w:p>
    <w:bookmarkEnd w:id="33"/>
    <w:bookmarkEnd w:id="34"/>
    <w:bookmarkStart w:id="43" w:name="X439a6e6dcb43c636bf515ffaf3f59bce0bd6490"/>
    <w:p>
      <w:pPr>
        <w:pStyle w:val="Heading2"/>
      </w:pPr>
      <w:r>
        <w:t xml:space="preserve">4. Emission Calculation (Activity * Emission Factor = CO2e)</w:t>
      </w:r>
    </w:p>
    <w:p>
      <w:pPr>
        <w:pStyle w:val="FirstParagraph"/>
      </w:pPr>
      <w:r>
        <w:t xml:space="preserve">Emissions are categorized according to the GHG Protocol. For illustrative purposes, the calculations below use the generated data and industry-standard emission factors.</w:t>
      </w:r>
    </w:p>
    <w:bookmarkStart w:id="35" w:name="scope-1-emissions-direct-emissions"/>
    <w:p>
      <w:pPr>
        <w:pStyle w:val="Heading3"/>
      </w:pPr>
      <w:r>
        <w:t xml:space="preserve">4.1. Scope 1 Emissions (Direct Emissions)</w:t>
      </w:r>
    </w:p>
    <w:p>
      <w:pPr>
        <w:pStyle w:val="FirstParagraph"/>
      </w:pPr>
      <w:r>
        <w:t xml:space="preserve">For the product ezoxgyqnqh, no significant direct (Scope 1) emissions from owned or controlled sources (e.g., combustion of fuels in company vehicles, manufacturing processes at factory, if company-owned) are identified or explicitly provided within the manufacturing `factory_gate` boundary parameter that would not be captured under Scope 2 or 3. If the manufacturing facility owned and operated on-site boilers or other direct combustion sources, these would be included here. For this analysis, direct manufacturing emissions are assumed to be covered by the energy intensity (Scope 2) and material processing (Scope 3) categories, or are negligible at the product level.</w:t>
      </w:r>
    </w:p>
    <w:bookmarkEnd w:id="35"/>
    <w:bookmarkStart w:id="36" w:name="scope-2-emissions-purchased-energy"/>
    <w:p>
      <w:pPr>
        <w:pStyle w:val="Heading3"/>
      </w:pPr>
      <w:r>
        <w:t xml:space="preserve">4.2. Scope 2 Emissions (Purchased Energy)</w:t>
      </w:r>
    </w:p>
    <w:p>
      <w:pPr>
        <w:pStyle w:val="FirstParagraph"/>
      </w:pPr>
      <w:r>
        <w:t xml:space="preserve">These emissions arise from the generation of purchased electricity for the manufacturing process.</w:t>
      </w:r>
    </w:p>
    <w:p>
      <w:pPr>
        <w:numPr>
          <w:ilvl w:val="0"/>
          <w:numId w:val="1010"/>
        </w:numPr>
        <w:pStyle w:val="Compact"/>
      </w:pPr>
      <w:r>
        <w:t xml:space="preserve">Total Energy for 1 unit: 15 kWh</w:t>
      </w:r>
    </w:p>
    <w:p>
      <w:pPr>
        <w:numPr>
          <w:ilvl w:val="0"/>
          <w:numId w:val="1010"/>
        </w:numPr>
        <w:pStyle w:val="Compact"/>
      </w:pPr>
      <w:r>
        <w:t xml:space="preserve">Renewable Energy Usage: 60% ⇒ 9 kWh (15 kWh * 0.60)</w:t>
      </w:r>
    </w:p>
    <w:p>
      <w:pPr>
        <w:numPr>
          <w:ilvl w:val="0"/>
          <w:numId w:val="1010"/>
        </w:numPr>
        <w:pStyle w:val="Compact"/>
      </w:pPr>
      <w:r>
        <w:t xml:space="preserve">Grid Energy Usage: 40% ⇒ 6 kWh (15 kWh * 0.40)</w:t>
      </w:r>
    </w:p>
    <w:p>
      <w:pPr>
        <w:numPr>
          <w:ilvl w:val="0"/>
          <w:numId w:val="1010"/>
        </w:numPr>
        <w:pStyle w:val="Compact"/>
      </w:pPr>
      <w:r>
        <w:t xml:space="preserve">Emissions from Grid Energy: 6 kWh * 0.6 kgCO2e/kWh = 3.60 kgCO2e [cite: example, IEA 2023 average]</w:t>
      </w:r>
    </w:p>
    <w:p>
      <w:pPr>
        <w:numPr>
          <w:ilvl w:val="0"/>
          <w:numId w:val="1010"/>
        </w:numPr>
        <w:pStyle w:val="Compact"/>
      </w:pPr>
      <w:r>
        <w:t xml:space="preserve">Emissions from Renewable Energy (indirect from infrastructure/loss): 9 kWh * 0.01 kgCO2e/kWh = 0.09 kgCO2e</w:t>
      </w:r>
    </w:p>
    <w:p>
      <w:pPr>
        <w:numPr>
          <w:ilvl w:val="0"/>
          <w:numId w:val="1010"/>
        </w:numPr>
        <w:pStyle w:val="Compact"/>
      </w:pPr>
      <w:r>
        <w:rPr>
          <w:bCs/>
          <w:b/>
        </w:rPr>
        <w:t xml:space="preserve">Total Scope 2 Emissions: 3.60 + 0.09 = 3.69 kgCO2e</w:t>
      </w:r>
    </w:p>
    <w:bookmarkEnd w:id="36"/>
    <w:bookmarkStart w:id="41" w:name="scope-3-emissions-value-chain-emissions"/>
    <w:p>
      <w:pPr>
        <w:pStyle w:val="Heading3"/>
      </w:pPr>
      <w:r>
        <w:t xml:space="preserve">4.3. Scope 3 Emissions (Value Chain Emissions)</w:t>
      </w:r>
    </w:p>
    <w:p>
      <w:pPr>
        <w:pStyle w:val="FirstParagraph"/>
      </w:pPr>
      <w:r>
        <w:t xml:space="preserve">Scope 3 accounts for at least 95% coverage as per 2026 requirements, covering significant upstream and downstream emissions.</w:t>
      </w:r>
    </w:p>
    <w:bookmarkStart w:id="37" w:name="Xb781e847426f57f33a67dc952be38de3fb2d716"/>
    <w:p>
      <w:pPr>
        <w:pStyle w:val="Heading4"/>
      </w:pPr>
      <w:r>
        <w:t xml:space="preserve">4.3.1. Category 1: Purchased Goods and Services (Raw Material Acquisition &amp; Pre-processing)</w:t>
      </w:r>
    </w:p>
    <w:p>
      <w:pPr>
        <w:pStyle w:val="FirstParagraph"/>
      </w:pPr>
      <w:r>
        <w:t xml:space="preserve">This includes all emissions associated with the extraction, production, and transport of raw materials and components prior to their arrival at the manufacturing facility.</w:t>
      </w:r>
    </w:p>
    <w:p>
      <w:pPr>
        <w:numPr>
          <w:ilvl w:val="0"/>
          <w:numId w:val="1011"/>
        </w:numPr>
        <w:pStyle w:val="Compact"/>
      </w:pPr>
      <w:r>
        <w:t xml:space="preserve">Sum of Total Carbon from BOM:</w:t>
      </w:r>
      <w:r>
        <w:t xml:space="preserve"> </w:t>
      </w:r>
      <w:r>
        <w:rPr>
          <w:bCs/>
          <w:b/>
        </w:rPr>
        <w:t xml:space="preserve">9.12 kgCO2e</w:t>
      </w:r>
    </w:p>
    <w:bookmarkEnd w:id="37"/>
    <w:bookmarkStart w:id="38" w:name="Xb5c3acafb1a5dee5ca4232d20258682408aa2af"/>
    <w:p>
      <w:pPr>
        <w:pStyle w:val="Heading4"/>
      </w:pPr>
      <w:r>
        <w:t xml:space="preserve">4.3.2. Category 4 &amp; 9: Upstream &amp; Downstream Transportation and Distribution</w:t>
      </w:r>
    </w:p>
    <w:p>
      <w:pPr>
        <w:pStyle w:val="FirstParagraph"/>
      </w:pPr>
      <w:r>
        <w:t xml:space="preserve">Emissions from transporting raw materials to the factory and finished products to the customer.</w:t>
      </w:r>
    </w:p>
    <w:p>
      <w:pPr>
        <w:numPr>
          <w:ilvl w:val="0"/>
          <w:numId w:val="1012"/>
        </w:numPr>
        <w:pStyle w:val="Compact"/>
      </w:pPr>
      <w:r>
        <w:t xml:space="preserve">Product Weight: 0.001 tonne (1 kg)</w:t>
      </w:r>
    </w:p>
    <w:p>
      <w:pPr>
        <w:numPr>
          <w:ilvl w:val="0"/>
          <w:numId w:val="1012"/>
        </w:numPr>
        <w:pStyle w:val="Compact"/>
      </w:pPr>
      <w:r>
        <w:t xml:space="preserve">Upstream Transport (Components to China Factory): 0.001 t * 8,000 km * (100 gCO2e/tkm / 1000 g/kg) = 0.80 kgCO2e [cite: example, DEFRA 2023]</w:t>
      </w:r>
    </w:p>
    <w:p>
      <w:pPr>
        <w:numPr>
          <w:ilvl w:val="0"/>
          <w:numId w:val="1012"/>
        </w:numPr>
        <w:pStyle w:val="Compact"/>
      </w:pPr>
      <w:r>
        <w:t xml:space="preserve">Downstream Transport (Factory to European Distribution): 0.001 t * 10,000 km * (100 gCO2e/tkm / 1000 g/kg) = 1.00 kgCO2e [cite: example, DEFRA 2023]</w:t>
      </w:r>
    </w:p>
    <w:p>
      <w:pPr>
        <w:numPr>
          <w:ilvl w:val="0"/>
          <w:numId w:val="1012"/>
        </w:numPr>
        <w:pStyle w:val="Compact"/>
      </w:pPr>
      <w:r>
        <w:t xml:space="preserve">Last-Mile Delivery (to Customer): 0.001 t * 100 km * (200 gCO2e/tkm / 1000 g/kg) = 0.02 kgCO2e [cite: example, DEFRA 2023]</w:t>
      </w:r>
    </w:p>
    <w:p>
      <w:pPr>
        <w:numPr>
          <w:ilvl w:val="0"/>
          <w:numId w:val="1012"/>
        </w:numPr>
        <w:pStyle w:val="Compact"/>
      </w:pPr>
      <w:r>
        <w:rPr>
          <w:bCs/>
          <w:b/>
        </w:rPr>
        <w:t xml:space="preserve">Total Transport Emissions: 0.80 + 1.00 + 0.02 = 1.82 kgCO2e</w:t>
      </w:r>
    </w:p>
    <w:bookmarkEnd w:id="38"/>
    <w:bookmarkStart w:id="39" w:name="category-11-use-of-sold-products"/>
    <w:p>
      <w:pPr>
        <w:pStyle w:val="Heading4"/>
      </w:pPr>
      <w:r>
        <w:t xml:space="preserve">4.3.3. Category 11: Use of Sold Products</w:t>
      </w:r>
    </w:p>
    <w:p>
      <w:pPr>
        <w:pStyle w:val="FirstParagraph"/>
      </w:pPr>
      <w:r>
        <w:t xml:space="preserve">Emissions generated during the product\'s expected lifespan due to energy consumption.</w:t>
      </w:r>
    </w:p>
    <w:p>
      <w:pPr>
        <w:numPr>
          <w:ilvl w:val="0"/>
          <w:numId w:val="1013"/>
        </w:numPr>
        <w:pStyle w:val="Compact"/>
      </w:pPr>
      <w:r>
        <w:t xml:space="preserve">Total Use Phase Energy: 50 kWh/year * 5 years = 250 kWh</w:t>
      </w:r>
    </w:p>
    <w:p>
      <w:pPr>
        <w:numPr>
          <w:ilvl w:val="0"/>
          <w:numId w:val="1013"/>
        </w:numPr>
        <w:pStyle w:val="Compact"/>
      </w:pPr>
      <w:r>
        <w:t xml:space="preserve">Emissions from Use Phase: 250 kWh * 0.3 kgCO2e/kWh =</w:t>
      </w:r>
      <w:r>
        <w:t xml:space="preserve"> </w:t>
      </w:r>
      <w:r>
        <w:rPr>
          <w:bCs/>
          <w:b/>
        </w:rPr>
        <w:t xml:space="preserve">75.00 kgCO2e</w:t>
      </w:r>
    </w:p>
    <w:bookmarkEnd w:id="39"/>
    <w:bookmarkStart w:id="40" w:name="X9f66eef2700632e081dfe139021cb724ffcd2c5"/>
    <w:p>
      <w:pPr>
        <w:pStyle w:val="Heading4"/>
      </w:pPr>
      <w:r>
        <w:t xml:space="preserve">4.3.4. Category 12: End-of-Life Treatment of Sold Products</w:t>
      </w:r>
    </w:p>
    <w:p>
      <w:pPr>
        <w:pStyle w:val="FirstParagraph"/>
      </w:pPr>
      <w:r>
        <w:t xml:space="preserve">Emissions and avoided emissions associated with the disposal and recovery of the product.</w:t>
      </w:r>
    </w:p>
    <w:p>
      <w:pPr>
        <w:numPr>
          <w:ilvl w:val="0"/>
          <w:numId w:val="1014"/>
        </w:numPr>
        <w:pStyle w:val="Compact"/>
      </w:pPr>
      <w:r>
        <w:t xml:space="preserve">Total Product Weight: 1 kg</w:t>
      </w:r>
    </w:p>
    <w:p>
      <w:pPr>
        <w:numPr>
          <w:ilvl w:val="0"/>
          <w:numId w:val="1014"/>
        </w:numPr>
        <w:pStyle w:val="Compact"/>
      </w:pPr>
      <w:r>
        <w:t xml:space="preserve">Mass to Landfill/Incineration (100% - 75% recyclability): 0.25 kg</w:t>
      </w:r>
    </w:p>
    <w:p>
      <w:pPr>
        <w:numPr>
          <w:ilvl w:val="0"/>
          <w:numId w:val="1014"/>
        </w:numPr>
        <w:pStyle w:val="Compact"/>
      </w:pPr>
      <w:r>
        <w:t xml:space="preserve">Emissions from Landfill/Incineration: 0.25 kg * 0.5 kgCO2e/kg = 0.125 kgCO2e</w:t>
      </w:r>
    </w:p>
    <w:p>
      <w:pPr>
        <w:numPr>
          <w:ilvl w:val="0"/>
          <w:numId w:val="1014"/>
        </w:numPr>
        <w:pStyle w:val="Compact"/>
      </w:pPr>
      <w:r>
        <w:t xml:space="preserve">Mass to Recycling: 0.75 kg</w:t>
      </w:r>
    </w:p>
    <w:p>
      <w:pPr>
        <w:numPr>
          <w:ilvl w:val="0"/>
          <w:numId w:val="1014"/>
        </w:numPr>
        <w:pStyle w:val="Compact"/>
      </w:pPr>
      <w:r>
        <w:t xml:space="preserve">Avoided Emissions from Recycling (credit): 0.75 kg * (-2.0 kgCO2e/kg) = -1.50 kgCO2e</w:t>
      </w:r>
    </w:p>
    <w:p>
      <w:pPr>
        <w:numPr>
          <w:ilvl w:val="0"/>
          <w:numId w:val="1014"/>
        </w:numPr>
        <w:pStyle w:val="Compact"/>
      </w:pPr>
      <w:r>
        <w:rPr>
          <w:bCs/>
          <w:b/>
        </w:rPr>
        <w:t xml:space="preserve">Net End-of-Life Impact: 0.125 - 1.50 = -1.375 kgCO2e</w:t>
      </w:r>
      <w:r>
        <w:t xml:space="preserve"> </w:t>
      </w:r>
      <w:r>
        <w:t xml:space="preserve">(Net Benefit)</w:t>
      </w:r>
    </w:p>
    <w:bookmarkEnd w:id="40"/>
    <w:bookmarkEnd w:id="41"/>
    <w:bookmarkStart w:id="42" w:name="land-sector-and-removals-lsr-update"/>
    <w:p>
      <w:pPr>
        <w:pStyle w:val="Heading3"/>
      </w:pPr>
      <w:r>
        <w:t xml:space="preserve">4.4. 2026 Land Sector and Removals (LSR) Update</w:t>
      </w:r>
    </w:p>
    <w:p>
      <w:pPr>
        <w:pStyle w:val="FirstParagraph"/>
      </w:pPr>
      <w:r>
        <w:t xml:space="preserve">In accordance with the 2026 LSR Standard, this analysis considers the impact of land use and carbon removals. For a product like ezoxgyqnqh, direct land-use change emissions or removals are typically indirect, stemming from the raw materials\' origins (e.g., bio-based materials like paper packaging). While specific data for direct land-use emissions was not provided, the methodology acknowledges that if materials like wood products or agricultural biomass were extensively used, their associated land-use change emissions (e.g., deforestation) or removals (e.g., sustainable forestry) would be quantified and reported. In this PCF, the cardbopard packaging\'s emissions factor implicitly includes some land-use impacts related to its production. Future assessments with more granular data would explicitly track these. The negative impact at EoL due to recycling can also be seen as a form of "avoided removal" if virgin materials that require significant land use are foregone.</w:t>
      </w:r>
    </w:p>
    <w:p>
      <w:r>
        <w:pict>
          <v:rect style="width:0;height:1.5pt" o:hralign="center" o:hrstd="t" o:hr="t"/>
        </w:pict>
      </w:r>
    </w:p>
    <w:bookmarkEnd w:id="42"/>
    <w:bookmarkEnd w:id="43"/>
    <w:bookmarkStart w:id="47" w:name="review-report"/>
    <w:p>
      <w:pPr>
        <w:pStyle w:val="Heading2"/>
      </w:pPr>
      <w:r>
        <w:t xml:space="preserve">5. Review &amp; Report</w:t>
      </w:r>
    </w:p>
    <w:bookmarkStart w:id="44" w:name="X299a3717db401fbc63eac38de0814f3ad8939f4"/>
    <w:p>
      <w:pPr>
        <w:pStyle w:val="Heading3"/>
      </w:pPr>
      <w:r>
        <w:t xml:space="preserve">5.1. Total Product Carbon Footprint (PCF) Summary</w:t>
      </w:r>
    </w:p>
    <w:p>
      <w:pPr>
        <w:pStyle w:val="FirstParagraph"/>
      </w:pPr>
      <w:r>
        <w:t xml:space="preserve">The total PCF for one functional unit of</w:t>
      </w:r>
      <w:r>
        <w:t xml:space="preserve"> </w:t>
      </w:r>
      <w:r>
        <w:rPr>
          <w:bCs/>
          <w:b/>
        </w:rPr>
        <w:t xml:space="preserve">ezoxgyqnqh</w:t>
      </w:r>
      <w:r>
        <w:t xml:space="preserve"> </w:t>
      </w:r>
      <w:r>
        <w:t xml:space="preserve">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 / GHG Scope</w:t>
            </w:r>
          </w:p>
        </w:tc>
        <w:tc>
          <w:tcPr/>
          <w:p>
            <w:pPr>
              <w:pStyle w:val="Compact"/>
              <w:jc w:val="left"/>
            </w:pPr>
            <w:r>
              <w:t xml:space="preserve">CO2e Emissions (kg)</w:t>
            </w:r>
          </w:p>
        </w:tc>
        <w:tc>
          <w:tcPr/>
          <w:p>
            <w:pPr>
              <w:pStyle w:val="Compact"/>
              <w:jc w:val="left"/>
            </w:pPr>
            <w:r>
              <w:t xml:space="preserve">Percentage of Total (%)</w:t>
            </w:r>
          </w:p>
        </w:tc>
      </w:tr>
      <w:tr>
        <w:tc>
          <w:tcPr/>
          <w:p>
            <w:pPr>
              <w:pStyle w:val="Compact"/>
              <w:jc w:val="left"/>
            </w:pPr>
            <w:r>
              <w:rPr>
                <w:bCs/>
                <w:b/>
              </w:rPr>
              <w:t xml:space="preserve">Scope 1</w:t>
            </w:r>
            <w:r>
              <w:t xml:space="preserve"> </w:t>
            </w:r>
            <w:r>
              <w:t xml:space="preserve">(Direct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rPr>
                <w:bCs/>
                <w:b/>
              </w:rPr>
              <w:t xml:space="preserve">Scope 2</w:t>
            </w:r>
            <w:r>
              <w:t xml:space="preserve"> </w:t>
            </w:r>
            <w:r>
              <w:t xml:space="preserve">(Purchased Energy - Production)</w:t>
            </w:r>
          </w:p>
        </w:tc>
        <w:tc>
          <w:tcPr/>
          <w:p>
            <w:pPr>
              <w:pStyle w:val="Compact"/>
              <w:jc w:val="left"/>
            </w:pPr>
            <w:r>
              <w:t xml:space="preserve">3.69</w:t>
            </w:r>
          </w:p>
        </w:tc>
        <w:tc>
          <w:tcPr/>
          <w:p>
            <w:pPr>
              <w:pStyle w:val="Compact"/>
              <w:jc w:val="left"/>
            </w:pPr>
            <w:r>
              <w:t xml:space="preserve">4.2%</w:t>
            </w:r>
          </w:p>
        </w:tc>
      </w:tr>
      <w:tr>
        <w:tc>
          <w:tcPr/>
          <w:p>
            <w:pPr>
              <w:pStyle w:val="Compact"/>
              <w:jc w:val="left"/>
            </w:pPr>
            <w:r>
              <w:rPr>
                <w:bCs/>
                <w:b/>
              </w:rPr>
              <w:t xml:space="preserve">Scope 3</w:t>
            </w:r>
            <w:r>
              <w:t xml:space="preserve"> </w:t>
            </w:r>
            <w:r>
              <w:t xml:space="preserve">(Purchased Goods &amp; Services - Materials)</w:t>
            </w:r>
          </w:p>
        </w:tc>
        <w:tc>
          <w:tcPr/>
          <w:p>
            <w:pPr>
              <w:pStyle w:val="Compact"/>
              <w:jc w:val="left"/>
            </w:pPr>
            <w:r>
              <w:t xml:space="preserve">9.12</w:t>
            </w:r>
          </w:p>
        </w:tc>
        <w:tc>
          <w:tcPr/>
          <w:p>
            <w:pPr>
              <w:pStyle w:val="Compact"/>
              <w:jc w:val="left"/>
            </w:pPr>
            <w:r>
              <w:t xml:space="preserve">10.3%</w:t>
            </w:r>
          </w:p>
        </w:tc>
      </w:tr>
      <w:tr>
        <w:tc>
          <w:tcPr/>
          <w:p>
            <w:pPr>
              <w:pStyle w:val="Compact"/>
              <w:jc w:val="left"/>
            </w:pPr>
            <w:r>
              <w:rPr>
                <w:bCs/>
                <w:b/>
              </w:rPr>
              <w:t xml:space="preserve">Scope 3</w:t>
            </w:r>
            <w:r>
              <w:t xml:space="preserve"> </w:t>
            </w:r>
            <w:r>
              <w:t xml:space="preserve">(Transport &amp; Distribution)</w:t>
            </w:r>
          </w:p>
        </w:tc>
        <w:tc>
          <w:tcPr/>
          <w:p>
            <w:pPr>
              <w:pStyle w:val="Compact"/>
              <w:jc w:val="left"/>
            </w:pPr>
            <w:r>
              <w:t xml:space="preserve">1.82</w:t>
            </w:r>
          </w:p>
        </w:tc>
        <w:tc>
          <w:tcPr/>
          <w:p>
            <w:pPr>
              <w:pStyle w:val="Compact"/>
              <w:jc w:val="left"/>
            </w:pPr>
            <w:r>
              <w:t xml:space="preserve">2.1%</w:t>
            </w:r>
          </w:p>
        </w:tc>
      </w:tr>
      <w:tr>
        <w:tc>
          <w:tcPr/>
          <w:p>
            <w:pPr>
              <w:pStyle w:val="Compact"/>
              <w:jc w:val="left"/>
            </w:pPr>
            <w:r>
              <w:rPr>
                <w:bCs/>
                <w:b/>
              </w:rPr>
              <w:t xml:space="preserve">Scope 3</w:t>
            </w:r>
            <w:r>
              <w:t xml:space="preserve"> </w:t>
            </w:r>
            <w:r>
              <w:t xml:space="preserve">(Use of Sold Products)</w:t>
            </w:r>
          </w:p>
        </w:tc>
        <w:tc>
          <w:tcPr/>
          <w:p>
            <w:pPr>
              <w:pStyle w:val="Compact"/>
              <w:jc w:val="left"/>
            </w:pPr>
            <w:r>
              <w:t xml:space="preserve">75.00</w:t>
            </w:r>
          </w:p>
        </w:tc>
        <w:tc>
          <w:tcPr/>
          <w:p>
            <w:pPr>
              <w:pStyle w:val="Compact"/>
              <w:jc w:val="left"/>
            </w:pPr>
            <w:r>
              <w:t xml:space="preserve">84.9%</w:t>
            </w:r>
          </w:p>
        </w:tc>
      </w:tr>
      <w:tr>
        <w:tc>
          <w:tcPr/>
          <w:p>
            <w:pPr>
              <w:pStyle w:val="Compact"/>
              <w:jc w:val="left"/>
            </w:pPr>
            <w:r>
              <w:rPr>
                <w:bCs/>
                <w:b/>
              </w:rPr>
              <w:t xml:space="preserve">Scope 3</w:t>
            </w:r>
            <w:r>
              <w:t xml:space="preserve"> </w:t>
            </w:r>
            <w:r>
              <w:t xml:space="preserve">(End-of-Life Treatment)</w:t>
            </w:r>
          </w:p>
        </w:tc>
        <w:tc>
          <w:tcPr/>
          <w:p>
            <w:pPr>
              <w:pStyle w:val="Compact"/>
              <w:jc w:val="left"/>
            </w:pPr>
            <w:r>
              <w:t xml:space="preserve">-1.375</w:t>
            </w:r>
          </w:p>
        </w:tc>
        <w:tc>
          <w:tcPr/>
          <w:p>
            <w:pPr>
              <w:pStyle w:val="Compact"/>
              <w:jc w:val="left"/>
            </w:pPr>
            <w:r>
              <w:t xml:space="preserve">-1.6%</w:t>
            </w:r>
          </w:p>
        </w:tc>
      </w:tr>
      <w:tr>
        <w:tc>
          <w:tcPr/>
          <w:p>
            <w:pPr>
              <w:pStyle w:val="Compact"/>
              <w:jc w:val="left"/>
            </w:pPr>
            <w:r>
              <w:rPr>
                <w:bCs/>
                <w:b/>
              </w:rPr>
              <w:t xml:space="preserve">TOTAL PRODUCT CARBON FOOTPRINT</w:t>
            </w:r>
          </w:p>
        </w:tc>
        <w:tc>
          <w:tcPr/>
          <w:p>
            <w:pPr>
              <w:pStyle w:val="Compact"/>
              <w:jc w:val="left"/>
            </w:pPr>
            <w:r>
              <w:rPr>
                <w:bCs/>
                <w:b/>
              </w:rPr>
              <w:t xml:space="preserve">88.255</w:t>
            </w:r>
          </w:p>
        </w:tc>
        <w:tc>
          <w:tcPr/>
          <w:p>
            <w:pPr>
              <w:pStyle w:val="Compact"/>
              <w:jc w:val="left"/>
            </w:pPr>
            <w:r>
              <w:rPr>
                <w:bCs/>
                <w:b/>
              </w:rPr>
              <w:t xml:space="preserve">100.0%</w:t>
            </w:r>
          </w:p>
        </w:tc>
      </w:tr>
    </w:tbl>
    <w:bookmarkEnd w:id="44"/>
    <w:bookmarkStart w:id="45" w:name="emission-hotspots-and-reliability"/>
    <w:p>
      <w:pPr>
        <w:pStyle w:val="Heading3"/>
      </w:pPr>
      <w:r>
        <w:t xml:space="preserve">5.2. Emission Hotspots and Reliability</w:t>
      </w:r>
    </w:p>
    <w:p>
      <w:pPr>
        <w:pStyle w:val="FirstParagraph"/>
      </w:pPr>
      <w:r>
        <w:t xml:space="preserve">The analysis clearly identifies the</w:t>
      </w:r>
      <w:r>
        <w:t xml:space="preserve"> </w:t>
      </w:r>
      <w:r>
        <w:rPr>
          <w:bCs/>
          <w:b/>
        </w:rPr>
        <w:t xml:space="preserve">Use Phase</w:t>
      </w:r>
      <w:r>
        <w:t xml:space="preserve"> </w:t>
      </w:r>
      <w:r>
        <w:t xml:space="preserve">as the dominant hotspot, contributing approximately 84.9% of the total PCF. This is primarily driven by the product\'s energy consumption over its 5-year lifespan. The second major hotspot is</w:t>
      </w:r>
      <w:r>
        <w:t xml:space="preserve"> </w:t>
      </w:r>
      <w:r>
        <w:rPr>
          <w:bCs/>
          <w:b/>
        </w:rPr>
        <w:t xml:space="preserve">Raw Material Acquisition &amp; Pre-processing</w:t>
      </w:r>
      <w:r>
        <w:t xml:space="preserve">, accounting for 10.3% of the emissions, indicating that material selection and design are critical.</w:t>
      </w:r>
    </w:p>
    <w:p>
      <w:pPr>
        <w:pStyle w:val="BodyText"/>
      </w:pPr>
      <w:r>
        <w:t xml:space="preserve">The reliability of this report is high for the illustrative data used. Actual PCF results would depend entirely on the accuracy and completeness of primary data. The use of industry-standard emission factors (e.g., from Ecoinvent/DEFRA for transport, IEA for electricity grids) enhances the comparability and robustness of the calculations.</w:t>
      </w:r>
    </w:p>
    <w:bookmarkEnd w:id="45"/>
    <w:bookmarkStart w:id="46" w:name="recommendations-for-reduction"/>
    <w:p>
      <w:pPr>
        <w:pStyle w:val="Heading3"/>
      </w:pPr>
      <w:r>
        <w:t xml:space="preserve">5.3. Recommendations for Reduction</w:t>
      </w:r>
    </w:p>
    <w:p>
      <w:pPr>
        <w:pStyle w:val="FirstParagraph"/>
      </w:pPr>
      <w:r>
        <w:t xml:space="preserve">Based on this PCF analysis,</w:t>
      </w:r>
      <w:r>
        <w:t xml:space="preserve"> </w:t>
      </w:r>
      <w:r>
        <w:rPr>
          <w:bCs/>
          <w:b/>
        </w:rPr>
        <w:t xml:space="preserve">xvzkvptogw</w:t>
      </w:r>
      <w:r>
        <w:t xml:space="preserve"> </w:t>
      </w:r>
      <w:r>
        <w:t xml:space="preserve">should focus its efforts on the following areas to reduce the environmental footprint of</w:t>
      </w:r>
      <w:r>
        <w:t xml:space="preserve"> </w:t>
      </w:r>
      <w:r>
        <w:rPr>
          <w:bCs/>
          <w:b/>
        </w:rPr>
        <w:t xml:space="preserve">ezoxgyqnqh</w:t>
      </w:r>
      <w:r>
        <w:t xml:space="preserve">:</w:t>
      </w:r>
    </w:p>
    <w:p>
      <w:pPr>
        <w:numPr>
          <w:ilvl w:val="0"/>
          <w:numId w:val="1015"/>
        </w:numPr>
        <w:pStyle w:val="Compact"/>
      </w:pPr>
      <w:r>
        <w:rPr>
          <w:bCs/>
          <w:b/>
        </w:rPr>
        <w:t xml:space="preserve">Optimize Use Phase:</w:t>
      </w:r>
      <w:r>
        <w:t xml:space="preserve"> </w:t>
      </w:r>
      <w:r>
        <w:t xml:space="preserve">Invest in R&amp;D for more energy-efficient product designs. Explore options for low-carbon energy sources during the product\'s use (e.g., integration with smart home energy systems, encouraging green energy tariffs for customers).</w:t>
      </w:r>
    </w:p>
    <w:p>
      <w:pPr>
        <w:numPr>
          <w:ilvl w:val="0"/>
          <w:numId w:val="1015"/>
        </w:numPr>
        <w:pStyle w:val="Compact"/>
      </w:pPr>
      <w:r>
        <w:rPr>
          <w:bCs/>
          <w:b/>
        </w:rPr>
        <w:t xml:space="preserve">Material Optimization:</w:t>
      </w:r>
      <w:r>
        <w:t xml:space="preserve"> </w:t>
      </w:r>
      <w:r>
        <w:t xml:space="preserve">Investigate alternative, lower-carbon materials for the plastic casing, aluminum frame, and battery components. Focus on materials with high recycled content and lower inherent emission factors.</w:t>
      </w:r>
    </w:p>
    <w:p>
      <w:pPr>
        <w:numPr>
          <w:ilvl w:val="0"/>
          <w:numId w:val="1015"/>
        </w:numPr>
        <w:pStyle w:val="Compact"/>
      </w:pPr>
      <w:r>
        <w:rPr>
          <w:bCs/>
          <w:b/>
        </w:rPr>
        <w:t xml:space="preserve">Enhance Circularity:</w:t>
      </w:r>
      <w:r>
        <w:t xml:space="preserve"> </w:t>
      </w:r>
      <w:r>
        <w:t xml:space="preserve">Continue to strengthen and expand take-back and refurbishment programs. Explore design-for-disassembly and modularity to facilitate easier repair, upgrade, and material recovery. The current high recyclability already provides significant benefits, which could be further maximized.</w:t>
      </w:r>
    </w:p>
    <w:p>
      <w:pPr>
        <w:numPr>
          <w:ilvl w:val="0"/>
          <w:numId w:val="1015"/>
        </w:numPr>
        <w:pStyle w:val="Compact"/>
      </w:pPr>
      <w:r>
        <w:rPr>
          <w:bCs/>
          <w:b/>
        </w:rPr>
        <w:t xml:space="preserve">Supply Chain Engagement:</w:t>
      </w:r>
      <w:r>
        <w:t xml:space="preserve"> </w:t>
      </w:r>
      <w:r>
        <w:t xml:space="preserve">Work with suppliers to understand and reduce their emissions, especially for high-impact components. Evaluate opportunities to optimize upstream logistics to reduce transport distances or shift to lower-carbon transport modes where feasible.</w:t>
      </w:r>
    </w:p>
    <w:p>
      <w:pPr>
        <w:numPr>
          <w:ilvl w:val="0"/>
          <w:numId w:val="1015"/>
        </w:numPr>
        <w:pStyle w:val="Compact"/>
      </w:pPr>
      <w:r>
        <w:rPr>
          <w:bCs/>
          <w:b/>
        </w:rPr>
        <w:t xml:space="preserve">Manufacturing Efficiency:</w:t>
      </w:r>
      <w:r>
        <w:t xml:space="preserve"> </w:t>
      </w:r>
      <w:r>
        <w:t xml:space="preserve">While not the largest hotspot, continuous improvement in manufacturing energy efficiency and increasing the share of renewable energy beyond the current 60% at the China production facility will contribute to further reductions.</w:t>
      </w:r>
    </w:p>
    <w:p>
      <w:r>
        <w:pict>
          <v:rect style="width:0;height:1.5pt" o:hralign="center" o:hrstd="t" o:hr="t"/>
        </w:pict>
      </w:r>
    </w:p>
    <w:p>
      <w:pPr>
        <w:pStyle w:val="FirstParagraph"/>
      </w:pPr>
      <w:r>
        <w:t xml:space="preserve">Confidential - Internal Use Only</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ezoxgyqnqh</dc:title>
  <dc:creator/>
  <dc:description>Detailed Product Carbon Footprint (PCF) analysis for ezoxgyqnqh, following GHG Protocol standards and 2026 LSR update, performed by Senior Sustainability Consultant lnqrymxmme for company xvzkvptogw.</dc:description>
  <dc:language>en</dc:language>
  <cp:keywords/>
  <dcterms:created xsi:type="dcterms:W3CDTF">2026-05-30T18:38:56Z</dcterms:created>
  <dcterms:modified xsi:type="dcterms:W3CDTF">2026-05-30T18:38:56Z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