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ezowhplgnu</w:t>
      </w:r>
      <w:r>
        <w:t xml:space="preserve"> </w:t>
      </w:r>
      <w:r>
        <w:t xml:space="preserve">-</w:t>
      </w:r>
      <w:r>
        <w:t xml:space="preserve"> </w:t>
      </w:r>
      <w:r>
        <w:t xml:space="preserve">ttunesdvts</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ezowhplgnu"/>
    <w:p>
      <w:pPr>
        <w:pStyle w:val="Heading1"/>
      </w:pPr>
      <w:r>
        <w:t xml:space="preserve">for ezowhplgnu</w:t>
      </w:r>
    </w:p>
    <w:p>
      <w:pPr>
        <w:pStyle w:val="FirstParagraph"/>
      </w:pPr>
      <w:r>
        <w:t xml:space="preserve">Company: ttunesdvts</w:t>
      </w:r>
    </w:p>
    <w:p>
      <w:pPr>
        <w:pStyle w:val="BodyText"/>
      </w:pPr>
      <w:r>
        <w:t xml:space="preserve">Senior Sustainability Consultant: nqjzpifuzw</w:t>
      </w:r>
    </w:p>
    <w:p>
      <w:pPr>
        <w:pStyle w:val="BodyText"/>
      </w:pPr>
      <w:r>
        <w:t xml:space="preserve">Accounting Standard: GHG Protocol</w:t>
      </w:r>
    </w:p>
    <w:p>
      <w:pPr>
        <w:pStyle w:val="BodyText"/>
      </w:pPr>
      <w:r>
        <w:t xml:space="preserve">Disclaimer: This report is generated based on available data and industry standards.</w:t>
      </w:r>
      <w:r>
        <w:t xml:space="preserve"> </w:t>
      </w:r>
      <w:r>
        <w:t xml:space="preserve">Actual figures may vary depending on real-world conditions and precise data availability.</w:t>
      </w:r>
    </w:p>
    <w:bookmarkEnd w:id="21"/>
    <w:p>
      <w:pPr>
        <w:pStyle w:val="BodyText"/>
      </w:pPr>
      <w:r>
        <w:t xml:space="preserve">Generated Date: May 31, 2026</w:t>
      </w:r>
    </w:p>
    <w:bookmarkStart w:id="53" w:name="X10513106aa8ba703fa6a812301ef8eafced3277"/>
    <w:p>
      <w:pPr>
        <w:pStyle w:val="Heading1"/>
      </w:pPr>
      <w:r>
        <w:t xml:space="preserve">Product Carbon Footprint Analysis for ezowhplgnu</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ezowhplgnu</w:t>
      </w:r>
      <w:r>
        <w:t xml:space="preserve"> </w:t>
      </w:r>
      <w:r>
        <w:t xml:space="preserve">manufactured by</w:t>
      </w:r>
      <w:r>
        <w:t xml:space="preserve"> </w:t>
      </w:r>
      <w:r>
        <w:rPr>
          <w:bCs/>
          <w:b/>
        </w:rPr>
        <w:t xml:space="preserve">ttunesdvts</w:t>
      </w:r>
      <w:r>
        <w:t xml:space="preserve">. The analysis was conducted by</w:t>
      </w:r>
      <w:r>
        <w:t xml:space="preserve"> </w:t>
      </w:r>
      <w:r>
        <w:rPr>
          <w:bCs/>
          <w:b/>
        </w:rPr>
        <w:t xml:space="preserve">nqjzpifuzw</w:t>
      </w:r>
      <w:r>
        <w:t xml:space="preserve">, Senior Sustainability Consultant, adhering to the Greenhouse Gas (GHG) Protocol. The objective is to quantify the lifecycle greenhouse gas emissions associated with ezowhplgnu, identify key emission hotspots, and provide a foundation for targeted decarbonization strategies. This assessment covers a factory-gate system boundary, with consideration for downstream impacts to ensure comprehensive understanding.</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of the PCF analysis establishes the boundaries and assumptions for the assessment, in alignment with the GHG Protocol.</w:t>
      </w:r>
    </w:p>
    <w:p>
      <w:pPr>
        <w:numPr>
          <w:ilvl w:val="0"/>
          <w:numId w:val="1001"/>
        </w:numPr>
        <w:pStyle w:val="Compact"/>
      </w:pPr>
      <w:r>
        <w:rPr>
          <w:bCs/>
          <w:b/>
        </w:rPr>
        <w:t xml:space="preserve">Functional Unit:</w:t>
      </w:r>
      <w:r>
        <w:t xml:space="preserve"> </w:t>
      </w:r>
      <w:r>
        <w:t xml:space="preserve">The functional unit for this analysis is 1.0 unit of ezowhplgnu. This provides a reference to which all inputs and outputs are normalized, ensuring comparability and consistency.</w:t>
      </w:r>
    </w:p>
    <w:p>
      <w:pPr>
        <w:numPr>
          <w:ilvl w:val="0"/>
          <w:numId w:val="1001"/>
        </w:numPr>
        <w:pStyle w:val="Compact"/>
      </w:pPr>
      <w:r>
        <w:rPr>
          <w:bCs/>
          <w:b/>
        </w:rPr>
        <w:t xml:space="preserve">System Boundary:</w:t>
      </w:r>
      <w:r>
        <w:t xml:space="preserve"> </w:t>
      </w:r>
      <w:r>
        <w:t xml:space="preserve">The primary system boundary is defined as</w:t>
      </w:r>
      <w:r>
        <w:t xml:space="preserve"> </w:t>
      </w:r>
      <w:r>
        <w:rPr>
          <w:iCs/>
          <w:i/>
        </w:rPr>
        <w:t xml:space="preserve">\'factory_gate\'</w:t>
      </w:r>
      <w:r>
        <w:t xml:space="preserve"> </w:t>
      </w:r>
      <w:r>
        <w:t xml:space="preserve">(cradle-to-gate). This encompasses all activities from raw material extraction, processing, and manufacturing, up to the point where the finished product leaves the ttunesdvts production facility. However, as per the detailed requirements, downstream impacts such as the use phase and end-of-life treatment are also explicitly expanded upon to provide a holistic view of the product\'s environmental performance.</w:t>
      </w:r>
    </w:p>
    <w:p>
      <w:pPr>
        <w:numPr>
          <w:ilvl w:val="0"/>
          <w:numId w:val="1001"/>
        </w:numPr>
        <w:pStyle w:val="Compact"/>
      </w:pPr>
      <w:r>
        <w:rPr>
          <w:bCs/>
          <w:b/>
        </w:rPr>
        <w:t xml:space="preserve">Geographic Scope:</w:t>
      </w:r>
      <w:r>
        <w:t xml:space="preserve"> </w:t>
      </w:r>
      <w:r>
        <w:t xml:space="preserve">The final production country for ezowhplgnu is China, with a supply chain focus on Europe. This dual geographical scope is critical for selecting appropriate regional emission factors for both manufacturing and upstream/downstream logistics.</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w:t>
      </w:r>
      <w:r>
        <w:t xml:space="preserve">standards for corporate accounting and reporting, specifically the Corporate Value Chain (Scope 3) Accounting and Reporting Standard. This ensures a robust and globally recognized methodology for greenhouse gas quantification.</w:t>
      </w:r>
    </w:p>
    <w:p>
      <w:pPr>
        <w:numPr>
          <w:ilvl w:val="0"/>
          <w:numId w:val="1001"/>
        </w:numPr>
        <w:pStyle w:val="Compact"/>
      </w:pPr>
      <w:r>
        <w:rPr>
          <w:bCs/>
          <w:b/>
        </w:rPr>
        <w:t xml:space="preserve">Allocation:</w:t>
      </w:r>
      <w:r>
        <w:t xml:space="preserve"> </w:t>
      </w:r>
      <w:r>
        <w:t xml:space="preserve">Emissions are allocated directly to the functional unit (1.0 unit of ezowhplgnu). For shared processes or infrastructure, allocation will be based on relevant physical parameters (e.g., mass, energy consumption) or economic factors, where direct attribution is not feasible.</w:t>
      </w:r>
    </w:p>
    <w:p>
      <w:r>
        <w:pict>
          <v:rect style="width:0;height:1.5pt" o:hralign="center" o:hrstd="t" o:hr="t"/>
        </w:pict>
      </w:r>
    </w:p>
    <w:bookmarkEnd w:id="23"/>
    <w:bookmarkStart w:id="29" w:name="map-lifecycle-lci-inventory-stages"/>
    <w:p>
      <w:pPr>
        <w:pStyle w:val="Heading2"/>
      </w:pPr>
      <w:r>
        <w:t xml:space="preserve">2. Map Lifecycle (LCI Inventory Stages)</w:t>
      </w:r>
    </w:p>
    <w:p>
      <w:pPr>
        <w:pStyle w:val="FirstParagraph"/>
      </w:pPr>
      <w:r>
        <w:t xml:space="preserve">The lifecycle of ezowhplgnu has been mapped into distinct stages to systematically identify all relevant inputs and outputs.</w:t>
      </w:r>
    </w:p>
    <w:bookmarkStart w:id="24" w:name="raw-material-acquisition-pre-processing"/>
    <w:p>
      <w:pPr>
        <w:pStyle w:val="Heading3"/>
      </w:pPr>
      <w:r>
        <w:t xml:space="preserve">2.1. Raw Material Acquisition &amp; Pre-processing</w:t>
      </w:r>
    </w:p>
    <w:p>
      <w:pPr>
        <w:pStyle w:val="FirstParagraph"/>
      </w:pPr>
      <w:r>
        <w:t xml:space="preserve">This stage includes the extraction, production, and primary processing of all raw materials and components listed in the Detailed Bill of Materials (BOM) (okynjdyo). Given the "Europe Focused" supply chain, regional specific data will be sought where available.</w:t>
      </w:r>
    </w:p>
    <w:bookmarkEnd w:id="24"/>
    <w:bookmarkStart w:id="25" w:name="manufacturing-production-phase"/>
    <w:p>
      <w:pPr>
        <w:pStyle w:val="Heading3"/>
      </w:pPr>
      <w:r>
        <w:t xml:space="preserve">2.2. Manufacturing / Production Phase</w:t>
      </w:r>
    </w:p>
    <w:p>
      <w:pPr>
        <w:pStyle w:val="FirstParagraph"/>
      </w:pPr>
      <w:r>
        <w:t xml:space="preserve">This encompasses all activities at the final production country (China), including:</w:t>
      </w:r>
    </w:p>
    <w:p>
      <w:pPr>
        <w:numPr>
          <w:ilvl w:val="0"/>
          <w:numId w:val="1002"/>
        </w:numPr>
        <w:pStyle w:val="Compact"/>
      </w:pPr>
      <w:r>
        <w:t xml:space="preserve">Energy consumption for manufacturing processes, considering the specified Energy Intensity (qpqfnoedrz kWh/unit) and Renewable Energy Usage (eldqtdgfzv).</w:t>
      </w:r>
    </w:p>
    <w:p>
      <w:pPr>
        <w:numPr>
          <w:ilvl w:val="0"/>
          <w:numId w:val="1002"/>
        </w:numPr>
        <w:pStyle w:val="Compact"/>
      </w:pPr>
      <w:r>
        <w:t xml:space="preserve">Emissions associated with the consumption of process chemicals and other auxiliary materials.</w:t>
      </w:r>
    </w:p>
    <w:p>
      <w:pPr>
        <w:numPr>
          <w:ilvl w:val="0"/>
          <w:numId w:val="1002"/>
        </w:numPr>
        <w:pStyle w:val="Compact"/>
      </w:pPr>
      <w:r>
        <w:t xml:space="preserve">Waste generation during production.</w:t>
      </w:r>
    </w:p>
    <w:bookmarkEnd w:id="25"/>
    <w:bookmarkStart w:id="26" w:name="transportation-distribution"/>
    <w:p>
      <w:pPr>
        <w:pStyle w:val="Heading3"/>
      </w:pPr>
      <w:r>
        <w:t xml:space="preserve">2.3. Transportation &amp; Distribution</w:t>
      </w:r>
    </w:p>
    <w:p>
      <w:pPr>
        <w:pStyle w:val="FirstParagraph"/>
      </w:pPr>
      <w:r>
        <w:t xml:space="preserve">This stage covers all logistics activities:</w:t>
      </w:r>
    </w:p>
    <w:p>
      <w:pPr>
        <w:numPr>
          <w:ilvl w:val="0"/>
          <w:numId w:val="1003"/>
        </w:numPr>
        <w:pStyle w:val="Compact"/>
      </w:pPr>
      <w:r>
        <w:t xml:space="preserve">Upstream transportation of raw materials and components to the manufacturing facility in China (potentially from Europe).</w:t>
      </w:r>
    </w:p>
    <w:p>
      <w:pPr>
        <w:numPr>
          <w:ilvl w:val="0"/>
          <w:numId w:val="1003"/>
        </w:numPr>
        <w:pStyle w:val="Compact"/>
      </w:pPr>
      <w:r>
        <w:t xml:space="preserve">Distribution of the finished product ezowhplgnu from the factory gate, considering the specified Transport Mode (Select Mode), Transport Distance (wmfylsnkkz), and Last-Mile Delivery Channel (Delivery Type).</w:t>
      </w:r>
    </w:p>
    <w:bookmarkEnd w:id="26"/>
    <w:bookmarkStart w:id="27" w:name="use-phase"/>
    <w:p>
      <w:pPr>
        <w:pStyle w:val="Heading3"/>
      </w:pPr>
      <w:r>
        <w:t xml:space="preserve">2.4. Use Phase</w:t>
      </w:r>
    </w:p>
    <w:p>
      <w:pPr>
        <w:pStyle w:val="FirstParagraph"/>
      </w:pPr>
      <w:r>
        <w:t xml:space="preserve">Although the primary system boundary is \'factory_gate\', the prompt requires expanding the \'Use Phase\'. This includes:</w:t>
      </w:r>
    </w:p>
    <w:p>
      <w:pPr>
        <w:numPr>
          <w:ilvl w:val="0"/>
          <w:numId w:val="1004"/>
        </w:numPr>
        <w:pStyle w:val="Compact"/>
      </w:pPr>
      <w:r>
        <w:t xml:space="preserve">Energy consumption during the product\'s lifespan (mzidpjxhop) as indicated by Energy Consumption in Use (kjekesqzio).</w:t>
      </w:r>
    </w:p>
    <w:p>
      <w:pPr>
        <w:numPr>
          <w:ilvl w:val="0"/>
          <w:numId w:val="1004"/>
        </w:numPr>
        <w:pStyle w:val="Compact"/>
      </w:pPr>
      <w:r>
        <w:t xml:space="preserve">Maintenance or repair activities during the use phase, if significant.</w:t>
      </w:r>
    </w:p>
    <w:bookmarkEnd w:id="27"/>
    <w:bookmarkStart w:id="28" w:name="end-of-life-eol-treatment"/>
    <w:p>
      <w:pPr>
        <w:pStyle w:val="Heading3"/>
      </w:pPr>
      <w:r>
        <w:t xml:space="preserve">2.5. End-of-Life (EoL) Treatment</w:t>
      </w:r>
    </w:p>
    <w:p>
      <w:pPr>
        <w:pStyle w:val="FirstParagraph"/>
      </w:pPr>
      <w:r>
        <w:t xml:space="preserve">Similarly, end-of-life scenarios are incorporated as per the prompt\'s requirements, extending beyond the \'factory_gate\' boundary. This stage covers:</w:t>
      </w:r>
    </w:p>
    <w:p>
      <w:pPr>
        <w:numPr>
          <w:ilvl w:val="0"/>
          <w:numId w:val="1005"/>
        </w:numPr>
        <w:pStyle w:val="Compact"/>
      </w:pPr>
      <w:r>
        <w:t xml:space="preserve">Emissions from disposal or recycling processes, factoring in the Recyclability Percentage (gopwwpoipw).</w:t>
      </w:r>
    </w:p>
    <w:p>
      <w:pPr>
        <w:numPr>
          <w:ilvl w:val="0"/>
          <w:numId w:val="1005"/>
        </w:numPr>
        <w:pStyle w:val="Compact"/>
      </w:pPr>
      <w:r>
        <w:t xml:space="preserve">Impacts of Circular/Take-back Programs (vsxrneffxu) designed to recover value from the product at its end-of-life.</w:t>
      </w:r>
    </w:p>
    <w:p>
      <w:r>
        <w:pict>
          <v:rect style="width:0;height:1.5pt" o:hralign="center" o:hrstd="t" o:hr="t"/>
        </w:pict>
      </w:r>
    </w:p>
    <w:bookmarkEnd w:id="28"/>
    <w:bookmarkEnd w:id="29"/>
    <w:bookmarkStart w:id="35" w:name="collect-data"/>
    <w:p>
      <w:pPr>
        <w:pStyle w:val="Heading2"/>
      </w:pPr>
      <w:r>
        <w:t xml:space="preserve">3. Collect Data</w:t>
      </w:r>
    </w:p>
    <w:p>
      <w:pPr>
        <w:pStyle w:val="FirstParagraph"/>
      </w:pPr>
      <w:r>
        <w:t xml:space="preserve">Data collection involves gathering both primary and secondary data relevant to each lifecycle stage. For this analysis, specific parameters have been provided, and where direct numerical data is not available, illustrative examples or methodological descriptions will be used, acknowledging the need for precise inputs for an exact calculation.</w:t>
      </w:r>
    </w:p>
    <w:bookmarkStart w:id="30" w:name="X676c8640e6f1edf42d8b92f4b225c472ffa55f7"/>
    <w:p>
      <w:pPr>
        <w:pStyle w:val="Heading3"/>
      </w:pPr>
      <w:r>
        <w:t xml:space="preserve">3.1. Detailed Bill of Materials (BOM) Data (okynjdyo)</w:t>
      </w:r>
    </w:p>
    <w:p>
      <w:pPr>
        <w:pStyle w:val="FirstParagraph"/>
      </w:pPr>
      <w:r>
        <w:t xml:space="preserve">The Detailed Bill of Materials (BOM) is crucial for a high-accuracy material impact calculation. The parameter</w:t>
      </w:r>
      <w:r>
        <w:t xml:space="preserve"> </w:t>
      </w:r>
      <w:r>
        <w:rPr>
          <w:bCs/>
          <w:b/>
        </w:rPr>
        <w:t xml:space="preserve">okynjdyo</w:t>
      </w:r>
      <w:r>
        <w:t xml:space="preserve"> </w:t>
      </w:r>
      <w:r>
        <w:t xml:space="preserve">represents this detailed BOM data, which would typically be provided as a structured list of components. For illustrative purposes, we present a sample structure of how the BOM data would be utilized in the calculation, with hypothetical values reflecting typical materials in a product.</w:t>
      </w:r>
      <w:r>
        <w:t xml:space="preserve"> </w:t>
      </w:r>
      <w:r>
        <w:t xml:space="preserve">A complete analysis would rely on the precise values of ID, Description, Category, Process, Qty, Unit, Emission Factor, and Total Carbon for each item within \'okynjdyo\'.</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3.50</w:t>
            </w:r>
            <w:r>
              <w:t xml:space="preserve"> </w:t>
            </w:r>
            <w:r>
              <w:rPr>
                <w:iCs/>
                <w:i/>
              </w:rPr>
              <w:t xml:space="preserve">(Illustrative from Ecoinvent)</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Aluminum Enclosure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8.00</w:t>
            </w:r>
            <w:r>
              <w:t xml:space="preserve"> </w:t>
            </w:r>
            <w:r>
              <w:rPr>
                <w:iCs/>
                <w:i/>
              </w:rPr>
              <w:t xml:space="preserve">(Illustrative from Ecoinvent)</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2.10</w:t>
            </w:r>
            <w:r>
              <w:t xml:space="preserve"> </w:t>
            </w:r>
            <w:r>
              <w:rPr>
                <w:iCs/>
                <w:i/>
              </w:rPr>
              <w:t xml:space="preserve">(Illustrative from Ecoinvent)</w:t>
            </w:r>
          </w:p>
        </w:tc>
        <w:tc>
          <w:tcPr/>
          <w:p>
            <w:pPr>
              <w:pStyle w:val="Compact"/>
              <w:jc w:val="left"/>
            </w:pPr>
            <w:r>
              <w:t xml:space="preserve">2.10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4.00</w:t>
            </w:r>
            <w:r>
              <w:t xml:space="preserve"> </w:t>
            </w:r>
            <w:r>
              <w:rPr>
                <w:iCs/>
                <w:i/>
              </w:rPr>
              <w:t xml:space="preserve">(Illustrative from Ecoinvent)</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r>
              <w:t xml:space="preserve"> </w:t>
            </w:r>
            <w:r>
              <w:rPr>
                <w:iCs/>
                <w:i/>
              </w:rPr>
              <w:t xml:space="preserve">(Illustrative from Ecoinvent)</w:t>
            </w:r>
          </w:p>
        </w:tc>
        <w:tc>
          <w:tcPr/>
          <w:p>
            <w:pPr>
              <w:pStyle w:val="Compact"/>
              <w:jc w:val="left"/>
            </w:pPr>
            <w:r>
              <w:t xml:space="preserve">0.50</w:t>
            </w:r>
          </w:p>
        </w:tc>
      </w:tr>
    </w:tbl>
    <w:bookmarkEnd w:id="30"/>
    <w:bookmarkStart w:id="31" w:name="energy-inputs-for-production"/>
    <w:p>
      <w:pPr>
        <w:pStyle w:val="Heading3"/>
      </w:pPr>
      <w:r>
        <w:t xml:space="preserve">3.2. Energy Inputs for Production</w:t>
      </w:r>
    </w:p>
    <w:p>
      <w:pPr>
        <w:pStyle w:val="FirstParagraph"/>
      </w:pPr>
      <w:r>
        <w:t xml:space="preserve">Production energy consumption is based on the provided parameters:</w:t>
      </w:r>
    </w:p>
    <w:p>
      <w:pPr>
        <w:numPr>
          <w:ilvl w:val="0"/>
          <w:numId w:val="1006"/>
        </w:numPr>
        <w:pStyle w:val="Compact"/>
      </w:pPr>
      <w:r>
        <w:rPr>
          <w:bCs/>
          <w:b/>
        </w:rPr>
        <w:t xml:space="preserve">Energy Intensity (kWh/unit):</w:t>
      </w:r>
      <w:r>
        <w:t xml:space="preserve"> </w:t>
      </w:r>
      <w:r>
        <w:t xml:space="preserve">qpqfnoedrz. This value represents the electrical energy consumed per functional unit during manufacturing.</w:t>
      </w:r>
    </w:p>
    <w:p>
      <w:pPr>
        <w:numPr>
          <w:ilvl w:val="0"/>
          <w:numId w:val="1006"/>
        </w:numPr>
        <w:pStyle w:val="Compact"/>
      </w:pPr>
      <w:r>
        <w:rPr>
          <w:bCs/>
          <w:b/>
        </w:rPr>
        <w:t xml:space="preserve">Renewable Energy Usage:</w:t>
      </w:r>
      <w:r>
        <w:t xml:space="preserve"> </w:t>
      </w:r>
      <w:r>
        <w:t xml:space="preserve">eldqtdgfzv. This percentage indicates the portion of consumed electricity sourced from renewable energy, directly impacting Scope 2 emissions. The remaining percentage would be assumed from the local grid mix in China.</w:t>
      </w:r>
    </w:p>
    <w:bookmarkEnd w:id="31"/>
    <w:bookmarkStart w:id="32" w:name="logistics-data"/>
    <w:p>
      <w:pPr>
        <w:pStyle w:val="Heading3"/>
      </w:pPr>
      <w:r>
        <w:t xml:space="preserve">3.3. Logistics Data</w:t>
      </w:r>
    </w:p>
    <w:p>
      <w:pPr>
        <w:pStyle w:val="FirstParagraph"/>
      </w:pPr>
      <w:r>
        <w:t xml:space="preserve">Transportation impacts are calculated using:</w:t>
      </w:r>
    </w:p>
    <w:p>
      <w:pPr>
        <w:numPr>
          <w:ilvl w:val="0"/>
          <w:numId w:val="1007"/>
        </w:numPr>
        <w:pStyle w:val="Compact"/>
      </w:pPr>
      <w:r>
        <w:rPr>
          <w:bCs/>
          <w:b/>
        </w:rPr>
        <w:t xml:space="preserve">Transport Mode:</w:t>
      </w:r>
      <w:r>
        <w:t xml:space="preserve"> </w:t>
      </w:r>
      <w:r>
        <w:t xml:space="preserve">Select Mode. This refers to the primary mode of transport (e.g., sea freight, road freight, air freight).</w:t>
      </w:r>
    </w:p>
    <w:p>
      <w:pPr>
        <w:numPr>
          <w:ilvl w:val="0"/>
          <w:numId w:val="1007"/>
        </w:numPr>
        <w:pStyle w:val="Compact"/>
      </w:pPr>
      <w:r>
        <w:rPr>
          <w:bCs/>
          <w:b/>
        </w:rPr>
        <w:t xml:space="preserve">Transport Distance:</w:t>
      </w:r>
      <w:r>
        <w:t xml:space="preserve"> </w:t>
      </w:r>
      <w:r>
        <w:t xml:space="preserve">wmfylsnkkz. The total distance covered for both upstream and downstream logistics.</w:t>
      </w:r>
    </w:p>
    <w:p>
      <w:pPr>
        <w:numPr>
          <w:ilvl w:val="0"/>
          <w:numId w:val="1007"/>
        </w:numPr>
        <w:pStyle w:val="Compact"/>
      </w:pPr>
      <w:r>
        <w:rPr>
          <w:bCs/>
          <w:b/>
        </w:rPr>
        <w:t xml:space="preserve">Last-Mile Delivery Channel:</w:t>
      </w:r>
      <w:r>
        <w:t xml:space="preserve"> </w:t>
      </w:r>
      <w:r>
        <w:t xml:space="preserve">Delivery Type. This specifies the method for the final leg of delivery to the customer.</w:t>
      </w:r>
    </w:p>
    <w:bookmarkEnd w:id="32"/>
    <w:bookmarkStart w:id="33" w:name="use-phase-data"/>
    <w:p>
      <w:pPr>
        <w:pStyle w:val="Heading3"/>
      </w:pPr>
      <w:r>
        <w:t xml:space="preserve">3.4. Use Phase Data</w:t>
      </w:r>
    </w:p>
    <w:p>
      <w:pPr>
        <w:pStyle w:val="FirstParagraph"/>
      </w:pPr>
      <w:r>
        <w:t xml:space="preserve">Data for the product\'s use phase includes:</w:t>
      </w:r>
    </w:p>
    <w:p>
      <w:pPr>
        <w:numPr>
          <w:ilvl w:val="0"/>
          <w:numId w:val="1008"/>
        </w:numPr>
        <w:pStyle w:val="Compact"/>
      </w:pPr>
      <w:r>
        <w:rPr>
          <w:bCs/>
          <w:b/>
        </w:rPr>
        <w:t xml:space="preserve">Product Lifespan:</w:t>
      </w:r>
      <w:r>
        <w:t xml:space="preserve"> </w:t>
      </w:r>
      <w:r>
        <w:t xml:space="preserve">mzidpjxhop. The estimated operational lifetime of the product.</w:t>
      </w:r>
    </w:p>
    <w:p>
      <w:pPr>
        <w:numPr>
          <w:ilvl w:val="0"/>
          <w:numId w:val="1008"/>
        </w:numPr>
        <w:pStyle w:val="Compact"/>
      </w:pPr>
      <w:r>
        <w:rPr>
          <w:bCs/>
          <w:b/>
        </w:rPr>
        <w:t xml:space="preserve">Energy Consumption in Use:</w:t>
      </w:r>
      <w:r>
        <w:t xml:space="preserve"> </w:t>
      </w:r>
      <w:r>
        <w:t xml:space="preserve">kjekesqzio. The total energy consumed by the product during its entire lifespan.</w:t>
      </w:r>
    </w:p>
    <w:bookmarkEnd w:id="33"/>
    <w:bookmarkStart w:id="34" w:name="end-of-life-eol-data"/>
    <w:p>
      <w:pPr>
        <w:pStyle w:val="Heading3"/>
      </w:pPr>
      <w:r>
        <w:t xml:space="preserve">3.5. End-of-Life (EoL) Data</w:t>
      </w:r>
    </w:p>
    <w:p>
      <w:pPr>
        <w:pStyle w:val="FirstParagraph"/>
      </w:pPr>
      <w:r>
        <w:t xml:space="preserve">EoL scenarios are informed by:</w:t>
      </w:r>
    </w:p>
    <w:p>
      <w:pPr>
        <w:numPr>
          <w:ilvl w:val="0"/>
          <w:numId w:val="1009"/>
        </w:numPr>
        <w:pStyle w:val="Compact"/>
      </w:pPr>
      <w:r>
        <w:rPr>
          <w:bCs/>
          <w:b/>
        </w:rPr>
        <w:t xml:space="preserve">Recyclability Percentage:</w:t>
      </w:r>
      <w:r>
        <w:t xml:space="preserve"> </w:t>
      </w:r>
      <w:r>
        <w:t xml:space="preserve">gopwwpoipw. The proportion of the product that can be recycled.</w:t>
      </w:r>
    </w:p>
    <w:p>
      <w:pPr>
        <w:numPr>
          <w:ilvl w:val="0"/>
          <w:numId w:val="1009"/>
        </w:numPr>
        <w:pStyle w:val="Compact"/>
      </w:pPr>
      <w:r>
        <w:rPr>
          <w:bCs/>
          <w:b/>
        </w:rPr>
        <w:t xml:space="preserve">Circular/Take-back Programs:</w:t>
      </w:r>
      <w:r>
        <w:t xml:space="preserve"> </w:t>
      </w:r>
      <w:r>
        <w:t xml:space="preserve">vsxrneffxu. The existence and effectiveness of programs for product recovery and reuse.</w:t>
      </w:r>
    </w:p>
    <w:p>
      <w:r>
        <w:pict>
          <v:rect style="width:0;height:1.5pt" o:hralign="center" o:hrstd="t" o:hr="t"/>
        </w:pict>
      </w:r>
    </w:p>
    <w:bookmarkEnd w:id="34"/>
    <w:bookmarkEnd w:id="35"/>
    <w:bookmarkStart w:id="46" w:name="calculate-emissions"/>
    <w:p>
      <w:pPr>
        <w:pStyle w:val="Heading2"/>
      </w:pPr>
      <w:r>
        <w:t xml:space="preserve">4. Calculate Emissions</w:t>
      </w:r>
    </w:p>
    <w:p>
      <w:pPr>
        <w:pStyle w:val="FirstParagraph"/>
      </w:pPr>
      <w:r>
        <w:t xml:space="preserve">Emissions are calculated by multiplying activity data by appropriate emission factors (Activity Data × Emission Factor = CO2e). This analysis adheres to the GHG Protocol, categorizing emissions into Scope 1, Scope 2, and Scope 3. Industry-standard emission factors, such as those from Ecoinvent and DEFRA, will be utilized.</w:t>
      </w:r>
    </w:p>
    <w:p>
      <w:pPr>
        <w:pStyle w:val="BodyText"/>
      </w:pPr>
      <w:r>
        <w:t xml:space="preserve">For the purpose of this report, given that the input parameters for calculation are placeholders (e.g., "okynjdyo", "wmfylsnkkz"), the calculations presented below are illustrative, demonstrating the methodology rather than providing precise numerical results. Actual calculations would use the exact numerical values for each parameter.</w:t>
      </w:r>
    </w:p>
    <w:bookmarkStart w:id="36" w:name="scope-1-direct-emissions"/>
    <w:p>
      <w:pPr>
        <w:pStyle w:val="Heading3"/>
      </w:pPr>
      <w:r>
        <w:t xml:space="preserve">4.1. Scope 1: Direct Emissions</w:t>
      </w:r>
    </w:p>
    <w:p>
      <w:pPr>
        <w:pStyle w:val="FirstParagraph"/>
      </w:pPr>
      <w:r>
        <w:t xml:space="preserve">Scope 1 covers direct GHG emissions from sources owned or controlled by ttunesdvts. For a \'factory_gate\' boundary, this would primarily include:</w:t>
      </w:r>
    </w:p>
    <w:p>
      <w:pPr>
        <w:numPr>
          <w:ilvl w:val="0"/>
          <w:numId w:val="1010"/>
        </w:numPr>
        <w:pStyle w:val="Compact"/>
      </w:pPr>
      <w:r>
        <w:t xml:space="preserve">On-site combustion of fuels (e.g., for heating, company-owned vehicles).</w:t>
      </w:r>
    </w:p>
    <w:p>
      <w:pPr>
        <w:numPr>
          <w:ilvl w:val="0"/>
          <w:numId w:val="1010"/>
        </w:numPr>
        <w:pStyle w:val="Compact"/>
      </w:pPr>
      <w:r>
        <w:t xml:space="preserve">Process emissions (e.g., from chemical reactions during manufacturing).</w:t>
      </w:r>
    </w:p>
    <w:p>
      <w:pPr>
        <w:numPr>
          <w:ilvl w:val="0"/>
          <w:numId w:val="1010"/>
        </w:numPr>
        <w:pStyle w:val="Compact"/>
      </w:pPr>
      <w:r>
        <w:t xml:space="preserve">Fugitive emissions (e.g., refrigerant leaks).</w:t>
      </w:r>
    </w:p>
    <w:p>
      <w:pPr>
        <w:pStyle w:val="FirstParagraph"/>
      </w:pPr>
      <w:r>
        <w:rPr>
          <w:iCs/>
          <w:i/>
        </w:rPr>
        <w:t xml:space="preserve">Illustrative Calculation:</w:t>
      </w:r>
      <w:r>
        <w:t xml:space="preserve"> </w:t>
      </w:r>
      <w:r>
        <w:t xml:space="preserve">If ttunesdvts had on-site natural gas consumption of 100 m³ for production, and the emission factor for natural gas is 2.0 kg CO2e/m³, Scope 1 emissions = 100 m³ * 2.0 kg CO2e/m³ = 200 kg CO2e.</w:t>
      </w:r>
    </w:p>
    <w:bookmarkEnd w:id="36"/>
    <w:bookmarkStart w:id="37" w:name="scope-2-purchased-energy-emissions"/>
    <w:p>
      <w:pPr>
        <w:pStyle w:val="Heading3"/>
      </w:pPr>
      <w:r>
        <w:t xml:space="preserve">4.2. Scope 2: Purchased Energy Emissions</w:t>
      </w:r>
    </w:p>
    <w:p>
      <w:pPr>
        <w:pStyle w:val="FirstParagraph"/>
      </w:pPr>
      <w:r>
        <w:t xml:space="preserve">Scope 2 covers indirect GHG emissions from the generation of purchased electricity, steam, heating, and cooling consumed by ttunesdvts.</w:t>
      </w:r>
    </w:p>
    <w:p>
      <w:pPr>
        <w:pStyle w:val="BodyText"/>
      </w:pPr>
      <w:r>
        <w:t xml:space="preserve">Calculation for electricity for production:</w:t>
      </w:r>
    </w:p>
    <w:p>
      <w:pPr>
        <w:numPr>
          <w:ilvl w:val="0"/>
          <w:numId w:val="1011"/>
        </w:numPr>
        <w:pStyle w:val="Compact"/>
      </w:pPr>
      <w:r>
        <w:t xml:space="preserve">Total Electricity Consumption = Energy Intensity (qpqfnoedrz kWh/unit) * 1.0 unit.</w:t>
      </w:r>
    </w:p>
    <w:p>
      <w:pPr>
        <w:numPr>
          <w:ilvl w:val="0"/>
          <w:numId w:val="1011"/>
        </w:numPr>
        <w:pStyle w:val="Compact"/>
      </w:pPr>
      <w:r>
        <w:t xml:space="preserve">Non-renewable Electricity Consumption = Total Electricity Consumption * (1 - Renewable Energy Usage (eldqtdgfzv)).</w:t>
      </w:r>
    </w:p>
    <w:p>
      <w:pPr>
        <w:numPr>
          <w:ilvl w:val="0"/>
          <w:numId w:val="1011"/>
        </w:numPr>
        <w:pStyle w:val="Compact"/>
      </w:pPr>
      <w:r>
        <w:t xml:space="preserve">Emission Factor (China grid mix): Approximately 0.6-0.8 kg CO2e/kWh (illustrative, from sources like IEA or local grid data).</w:t>
      </w:r>
    </w:p>
    <w:p>
      <w:pPr>
        <w:numPr>
          <w:ilvl w:val="0"/>
          <w:numId w:val="1011"/>
        </w:numPr>
        <w:pStyle w:val="Compact"/>
      </w:pPr>
      <w:r>
        <w:t xml:space="preserve">Scope 2 Emissions = Non-renewable Electricity Consumption * Emission Factor.</w:t>
      </w:r>
    </w:p>
    <w:p>
      <w:pPr>
        <w:pStyle w:val="FirstParagraph"/>
      </w:pPr>
      <w:r>
        <w:rPr>
          <w:iCs/>
          <w:i/>
        </w:rPr>
        <w:t xml:space="preserve">Illustrative Calculation:</w:t>
      </w:r>
      <w:r>
        <w:t xml:space="preserve"> </w:t>
      </w:r>
      <w:r>
        <w:t xml:space="preserve">Assuming qpqfnoedrz = 50 kWh/unit and eldqtdgfzv = 40% (0.4).</w:t>
      </w:r>
      <w:r>
        <w:t xml:space="preserve"> </w:t>
      </w:r>
      <w:r>
        <w:t xml:space="preserve">Non-renewable electricity = 50 kWh * (1 - 0.4) = 30 kWh.</w:t>
      </w:r>
      <w:r>
        <w:t xml:space="preserve"> </w:t>
      </w:r>
      <w:r>
        <w:t xml:space="preserve">If China grid EF = 0.7 kg CO2e/kWh, then Scope 2 Emissions = 30 kWh * 0.7 kg CO2e/kWh = 21 kg CO2e.</w:t>
      </w:r>
    </w:p>
    <w:bookmarkEnd w:id="37"/>
    <w:bookmarkStart w:id="43" w:name="scope-3-value-chain-emissions"/>
    <w:p>
      <w:pPr>
        <w:pStyle w:val="Heading3"/>
      </w:pPr>
      <w:r>
        <w:t xml:space="preserve">4.3. Scope 3: Value Chain Emissions</w:t>
      </w:r>
    </w:p>
    <w:p>
      <w:pPr>
        <w:pStyle w:val="FirstParagraph"/>
      </w:pPr>
      <w:r>
        <w:t xml:space="preserve">Scope 3 includes all other indirect emissions that occur in ttunesdvts\'s value chain, both upstream and downstream. The GHG Protocol defines 15 categories for Scope 3. We ensure at least 95% coverage for Scope 3 reporting as per 2026 requirements.</w:t>
      </w:r>
    </w:p>
    <w:bookmarkStart w:id="38" w:name="Xd2afc350fd9ea64645be39a78640705471d290a"/>
    <w:p>
      <w:pPr>
        <w:pStyle w:val="Heading4"/>
      </w:pPr>
      <w:r>
        <w:t xml:space="preserve">4.3.1. Category 1: Purchased Goods and Services (Upstream)</w:t>
      </w:r>
    </w:p>
    <w:p>
      <w:pPr>
        <w:pStyle w:val="FirstParagraph"/>
      </w:pPr>
      <w:r>
        <w:t xml:space="preserve">Emissions from the extraction, production, and transportation of purchased raw materials and components (the BOM: okynjdyo). This is a significant hotspot.</w:t>
      </w:r>
    </w:p>
    <w:p>
      <w:pPr>
        <w:numPr>
          <w:ilvl w:val="0"/>
          <w:numId w:val="1012"/>
        </w:numPr>
        <w:pStyle w:val="Compact"/>
      </w:pPr>
      <w:r>
        <w:t xml:space="preserve">Emissions are calculated by summing the "Total Carbon" column from the BOM table, which is derived from Quantity * Emission Factor for each material. Emission factors for materials are typically sourced from life cycle inventory databases like Ecoinvent or industry-specific databases.</w:t>
      </w:r>
    </w:p>
    <w:p>
      <w:pPr>
        <w:pStyle w:val="FirstParagraph"/>
      </w:pPr>
      <w:r>
        <w:rPr>
          <w:iCs/>
          <w:i/>
        </w:rPr>
        <w:t xml:space="preserve">Illustrative Calculation:</w:t>
      </w:r>
      <w:r>
        <w:t xml:space="preserve"> </w:t>
      </w:r>
      <w:r>
        <w:t xml:space="preserve">Based on the sample BOM provided earlier, the sum of "Total Carbon" = 1.75 + 1.60 + 2.10 + 0.40 + 0.50 = 6.35 kg CO2e.</w:t>
      </w:r>
    </w:p>
    <w:bookmarkEnd w:id="38"/>
    <w:bookmarkStart w:id="39" w:name="X171f0d3284324fc9b7aef9773a53d3587b6245b"/>
    <w:p>
      <w:pPr>
        <w:pStyle w:val="Heading4"/>
      </w:pPr>
      <w:r>
        <w:t xml:space="preserve">4.3.2. Category 4: Upstream Transportation and Distribution (Upstream)</w:t>
      </w:r>
    </w:p>
    <w:p>
      <w:pPr>
        <w:pStyle w:val="FirstParagraph"/>
      </w:pPr>
      <w:r>
        <w:t xml:space="preserve">Emissions from the transportation and distribution of purchased goods (raw materials, components) between a company\'s tier 1 suppliers and its own operations.</w:t>
      </w:r>
    </w:p>
    <w:p>
      <w:pPr>
        <w:numPr>
          <w:ilvl w:val="0"/>
          <w:numId w:val="1013"/>
        </w:numPr>
        <w:pStyle w:val="Compact"/>
      </w:pPr>
      <w:r>
        <w:t xml:space="preserve">Calculated using Transport Mode (Select Mode), Transport Distance (wmfylsnkkz), and relevant emission factors (e.g., kg CO2e/tonne-km) from sources like DEFRA.</w:t>
      </w:r>
    </w:p>
    <w:p>
      <w:pPr>
        <w:pStyle w:val="FirstParagraph"/>
      </w:pPr>
      <w:r>
        <w:rPr>
          <w:iCs/>
          <w:i/>
        </w:rPr>
        <w:t xml:space="preserve">Illustrative Calculation:</w:t>
      </w:r>
      <w:r>
        <w:t xml:space="preserve"> </w:t>
      </w:r>
      <w:r>
        <w:t xml:space="preserve">Assuming \'Select Mode\' = Ocean Freight, \'wmfylsnkkz\' (for upstream) = 5,000 km, and material mass = 1.0 kg (from BOM).</w:t>
      </w:r>
      <w:r>
        <w:t xml:space="preserve"> </w:t>
      </w:r>
      <w:r>
        <w:t xml:space="preserve">If Ocean Freight EF = 0.01 kg CO2e/tonne-km, then Upstream Transport = 1.0 kg * (1/1000 tonne/kg) * 5,000 km * 0.01 kg CO2e/tonne-km = 0.05 kg CO2e.</w:t>
      </w:r>
    </w:p>
    <w:bookmarkEnd w:id="39"/>
    <w:bookmarkStart w:id="40" w:name="X1b4094cda06d9a1f998476e97d6a57594c0a4b2"/>
    <w:p>
      <w:pPr>
        <w:pStyle w:val="Heading4"/>
      </w:pPr>
      <w:r>
        <w:t xml:space="preserve">4.3.3. Category 9: Downstream Transportation and Distribution (Downstream)</w:t>
      </w:r>
    </w:p>
    <w:p>
      <w:pPr>
        <w:pStyle w:val="FirstParagraph"/>
      </w:pPr>
      <w:r>
        <w:t xml:space="preserve">Emissions from the transportation and distribution of sold products to the customer.</w:t>
      </w:r>
    </w:p>
    <w:p>
      <w:pPr>
        <w:numPr>
          <w:ilvl w:val="0"/>
          <w:numId w:val="1014"/>
        </w:numPr>
        <w:pStyle w:val="Compact"/>
      </w:pPr>
      <w:r>
        <w:t xml:space="preserve">Calculated using Transport Mode (Select Mode), Transport Distance (wmfylsnkkz), Last-Mile Delivery Channel (Delivery Type), and emission factors from databases like DEFRA.</w:t>
      </w:r>
    </w:p>
    <w:p>
      <w:pPr>
        <w:pStyle w:val="FirstParagraph"/>
      </w:pPr>
      <w:r>
        <w:rPr>
          <w:iCs/>
          <w:i/>
        </w:rPr>
        <w:t xml:space="preserve">Illustrative Calculation:</w:t>
      </w:r>
      <w:r>
        <w:t xml:space="preserve"> </w:t>
      </w:r>
      <w:r>
        <w:t xml:space="preserve">Assuming \'Select Mode\' = Road Freight (Heavy Goods Vehicle), \'wmfylsnkkz\' (for downstream) = 1,000 km, \'Delivery Type\' = Parcel service, and product mass = 1.0 kg.</w:t>
      </w:r>
      <w:r>
        <w:t xml:space="preserve"> </w:t>
      </w:r>
      <w:r>
        <w:t xml:space="preserve">If Road Freight (HGV) EF = 0.1 kg CO2e/tonne-km (illustrative from DEFRA), then Downstream Transport = 1.0 kg * (1/1000 tonne/kg) * 1,000 km * 0.1 kg CO2e/tonne-km = 0.1 kg CO2e.</w:t>
      </w:r>
    </w:p>
    <w:bookmarkEnd w:id="40"/>
    <w:bookmarkStart w:id="41" w:name="Xe0cdf82e37eae19a4cdef6b47f9b47b5568ac54"/>
    <w:p>
      <w:pPr>
        <w:pStyle w:val="Heading4"/>
      </w:pPr>
      <w:r>
        <w:t xml:space="preserve">4.3.4. Category 11: Use of Sold Products (Downstream)</w:t>
      </w:r>
    </w:p>
    <w:p>
      <w:pPr>
        <w:pStyle w:val="FirstParagraph"/>
      </w:pPr>
      <w:r>
        <w:t xml:space="preserve">Emissions arising from the use of ezowhplgnu over its lifespan.</w:t>
      </w:r>
    </w:p>
    <w:p>
      <w:pPr>
        <w:numPr>
          <w:ilvl w:val="0"/>
          <w:numId w:val="1015"/>
        </w:numPr>
        <w:pStyle w:val="Compact"/>
      </w:pPr>
      <w:r>
        <w:t xml:space="preserve">Calculated based on Product Lifespan (mzidpjxhop) and Energy Consumption in Use (kjekesqzio), multiplied by the relevant electricity emission factor for the typical user region (e.g., Europe grid mix).</w:t>
      </w:r>
    </w:p>
    <w:p>
      <w:pPr>
        <w:pStyle w:val="FirstParagraph"/>
      </w:pPr>
      <w:r>
        <w:rPr>
          <w:iCs/>
          <w:i/>
        </w:rPr>
        <w:t xml:space="preserve">Illustrative Calculation:</w:t>
      </w:r>
      <w:r>
        <w:t xml:space="preserve"> </w:t>
      </w:r>
      <w:r>
        <w:t xml:space="preserve">Assuming \'mzidpjxhop\' = 5 years, \'kjekesqzio\' = 100 kWh over lifespan.</w:t>
      </w:r>
      <w:r>
        <w:t xml:space="preserve"> </w:t>
      </w:r>
      <w:r>
        <w:t xml:space="preserve">If European average grid EF = 0.3 kg CO2e/kWh, then Use Phase Emissions = 100 kWh * 0.3 kg CO2e/kWh = 30 kg CO2e.</w:t>
      </w:r>
    </w:p>
    <w:bookmarkEnd w:id="41"/>
    <w:bookmarkStart w:id="42" w:name="X3bc90abbe2e1645b72b978af62b5f16ed4da77f"/>
    <w:p>
      <w:pPr>
        <w:pStyle w:val="Heading4"/>
      </w:pPr>
      <w:r>
        <w:t xml:space="preserve">4.3.5. Category 12: End-of-Life Treatment of Sold Products (Downstream)</w:t>
      </w:r>
    </w:p>
    <w:p>
      <w:pPr>
        <w:pStyle w:val="FirstParagraph"/>
      </w:pPr>
      <w:r>
        <w:t xml:space="preserve">Emissions from the disposal or recycling of the product at the end of its life.</w:t>
      </w:r>
    </w:p>
    <w:p>
      <w:pPr>
        <w:numPr>
          <w:ilvl w:val="0"/>
          <w:numId w:val="1016"/>
        </w:numPr>
        <w:pStyle w:val="Compact"/>
      </w:pPr>
      <w:r>
        <w:t xml:space="preserve">Emissions are reduced based on Recyclability Percentage (gopwwpoipw) and the impact of Circular/Take-back Programs (vsxrneffxu). Recycling typically has lower emissions than landfill or incineration.</w:t>
      </w:r>
    </w:p>
    <w:p>
      <w:pPr>
        <w:pStyle w:val="FirstParagraph"/>
      </w:pPr>
      <w:r>
        <w:rPr>
          <w:iCs/>
          <w:i/>
        </w:rPr>
        <w:t xml:space="preserve">Illustrative Calculation:</w:t>
      </w:r>
      <w:r>
        <w:t xml:space="preserve"> </w:t>
      </w:r>
      <w:r>
        <w:t xml:space="preserve">Assuming total product mass = 1.0 kg, \'gopwwpoipw\' = 70% (0.7).</w:t>
      </w:r>
      <w:r>
        <w:t xml:space="preserve"> </w:t>
      </w:r>
      <w:r>
        <w:t xml:space="preserve">If Landfill EF = 1.0 kg CO2e/kg and Recycling EF = 0.2 kg CO2e/kg (illustrative).</w:t>
      </w:r>
      <w:r>
        <w:t xml:space="preserve"> </w:t>
      </w:r>
      <w:r>
        <w:t xml:space="preserve">EoL Emissions = (1.0 kg * 0.3 (non-recycled)) * 1.0 kg CO2e/kg + (1.0 kg * 0.7 (recycled)) * 0.2 kg CO2e/kg = 0.3 kg CO2e + 0.14 kg CO2e = 0.44 kg CO2e.</w:t>
      </w:r>
    </w:p>
    <w:bookmarkEnd w:id="42"/>
    <w:bookmarkEnd w:id="43"/>
    <w:bookmarkStart w:id="44" w:name="X439aeab12f653c5be8a9767687610423a65f1bc"/>
    <w:p>
      <w:pPr>
        <w:pStyle w:val="Heading3"/>
      </w:pPr>
      <w:r>
        <w:t xml:space="preserve">4.4. 2026 LSR Update: Land Sector and Removals (LSR) Standard</w:t>
      </w:r>
    </w:p>
    <w:p>
      <w:pPr>
        <w:pStyle w:val="FirstParagraph"/>
      </w:pPr>
      <w:r>
        <w:t xml:space="preserve">The GHG Protocol Land Sector and Removals (LSR) Standard, released on January 30, 2026, and effective January 1, 2027, provides new requirements for corporate GHG accounting that cover emissions and carbon removals from agricultural and land use activities. While the full guidance is expected in Q2 2026, companies are advised to assess its impacts now.</w:t>
      </w:r>
    </w:p>
    <w:p>
      <w:pPr>
        <w:pStyle w:val="BodyText"/>
      </w:pPr>
      <w:r>
        <w:t xml:space="preserve">For ezowhplgnu, if any raw materials (e.g., natural fibers, bio-based plastics) have significant land-use change impacts in their upstream value chain, these would be quantified and reported according to the LSR Standard. This would include direct land-use change emissions and potential removals, ensuring transparent reporting for land-based GHG emissions and CO₂ removals. The LSR Standard mandates traceability of data for agricultural carbon accounting.</w:t>
      </w:r>
    </w:p>
    <w:bookmarkEnd w:id="44"/>
    <w:bookmarkStart w:id="45" w:name="scope-3-compliance-95-coverage"/>
    <w:p>
      <w:pPr>
        <w:pStyle w:val="Heading3"/>
      </w:pPr>
      <w:r>
        <w:t xml:space="preserve">4.5. Scope 3 Compliance: 95% Coverage</w:t>
      </w:r>
    </w:p>
    <w:p>
      <w:pPr>
        <w:pStyle w:val="FirstParagraph"/>
      </w:pPr>
      <w:r>
        <w:t xml:space="preserve">As per 2026 requirements, this analysis aims for at least 95% coverage for Scope 3 reporting. This means identifying and quantifying emissions from all material Scope 3 categories to ensure a comprehensive understanding of the product\'s value chain footprint. Efforts will be made to minimize reliance on generic data by prioritizing primary data where available and using robust secondary data (e.g., Ecoinvent, DEFRA) for remaining gaps.</w:t>
      </w:r>
    </w:p>
    <w:p>
      <w:r>
        <w:pict>
          <v:rect style="width:0;height:1.5pt" o:hralign="center" o:hrstd="t" o:hr="t"/>
        </w:pict>
      </w:r>
    </w:p>
    <w:bookmarkEnd w:id="45"/>
    <w:bookmarkEnd w:id="46"/>
    <w:bookmarkStart w:id="50" w:name="review-report"/>
    <w:p>
      <w:pPr>
        <w:pStyle w:val="Heading2"/>
      </w:pPr>
      <w:r>
        <w:t xml:space="preserve">5. Review &amp; Report</w:t>
      </w:r>
    </w:p>
    <w:p>
      <w:pPr>
        <w:pStyle w:val="FirstParagraph"/>
      </w:pPr>
      <w:r>
        <w:t xml:space="preserve">The final stage involves reviewing the calculated emissions, identifying hotspots, assessing data reliability, and presenting the findings.</w:t>
      </w:r>
    </w:p>
    <w:bookmarkStart w:id="47" w:name="hotspots-analysis"/>
    <w:p>
      <w:pPr>
        <w:pStyle w:val="Heading3"/>
      </w:pPr>
      <w:r>
        <w:t xml:space="preserve">5.1. Hotspots Analysis</w:t>
      </w:r>
    </w:p>
    <w:p>
      <w:pPr>
        <w:pStyle w:val="FirstParagraph"/>
      </w:pPr>
      <w:r>
        <w:t xml:space="preserve">Based on the illustrative calculations, potential hotspots for ezowhplgnu are likely to be:</w:t>
      </w:r>
    </w:p>
    <w:p>
      <w:pPr>
        <w:numPr>
          <w:ilvl w:val="0"/>
          <w:numId w:val="1017"/>
        </w:numPr>
        <w:pStyle w:val="Compact"/>
      </w:pPr>
      <w:r>
        <w:rPr>
          <w:bCs/>
          <w:b/>
        </w:rPr>
        <w:t xml:space="preserve">Raw Materials:</w:t>
      </w:r>
      <w:r>
        <w:t xml:space="preserve"> </w:t>
      </w:r>
      <w:r>
        <w:t xml:space="preserve">Certain materials in the BOM (okynjdyo) (e.g., specific plastics, metals, or electronic components) often have high embodied carbon due to energy-intensive extraction and manufacturing processes.</w:t>
      </w:r>
    </w:p>
    <w:p>
      <w:pPr>
        <w:numPr>
          <w:ilvl w:val="0"/>
          <w:numId w:val="1017"/>
        </w:numPr>
        <w:pStyle w:val="Compact"/>
      </w:pPr>
      <w:r>
        <w:rPr>
          <w:bCs/>
          <w:b/>
        </w:rPr>
        <w:t xml:space="preserve">Use Phase Energy Consumption:</w:t>
      </w:r>
      <w:r>
        <w:t xml:space="preserve"> </w:t>
      </w:r>
      <w:r>
        <w:t xml:space="preserve">If the Energy Consumption in Use (kjekesqzio) is substantial over the Product Lifespan (mzidpjxhop), this can significantly contribute to the overall footprint, especially if the electricity source is not highly renewable.</w:t>
      </w:r>
    </w:p>
    <w:p>
      <w:pPr>
        <w:numPr>
          <w:ilvl w:val="0"/>
          <w:numId w:val="1017"/>
        </w:numPr>
        <w:pStyle w:val="Compact"/>
      </w:pPr>
      <w:r>
        <w:rPr>
          <w:bCs/>
          <w:b/>
        </w:rPr>
        <w:t xml:space="preserve">Transportation:</w:t>
      </w:r>
      <w:r>
        <w:t xml:space="preserve"> </w:t>
      </w:r>
      <w:r>
        <w:t xml:space="preserve">Long distances (wmfylsnkkz) or high-emission transport modes (Select Mode) can be significant, particularly for air freight or inefficient road transport.</w:t>
      </w:r>
    </w:p>
    <w:bookmarkEnd w:id="47"/>
    <w:bookmarkStart w:id="48" w:name="reliability-and-limitations"/>
    <w:p>
      <w:pPr>
        <w:pStyle w:val="Heading3"/>
      </w:pPr>
      <w:r>
        <w:t xml:space="preserve">5.2. Reliability and Limitations</w:t>
      </w:r>
    </w:p>
    <w:p>
      <w:pPr>
        <w:pStyle w:val="FirstParagraph"/>
      </w:pPr>
      <w:r>
        <w:t xml:space="preserve">The reliability of this report is directly dependent on the quality and specificity of the input data.</w:t>
      </w:r>
    </w:p>
    <w:p>
      <w:pPr>
        <w:numPr>
          <w:ilvl w:val="0"/>
          <w:numId w:val="1018"/>
        </w:numPr>
        <w:pStyle w:val="Compact"/>
      </w:pPr>
      <w:r>
        <w:rPr>
          <w:bCs/>
          <w:b/>
        </w:rPr>
        <w:t xml:space="preserve">Data Quality:</w:t>
      </w:r>
      <w:r>
        <w:t xml:space="preserve"> </w:t>
      </w:r>
      <w:r>
        <w:t xml:space="preserve">This report assumes the availability of high-quality, specific data for BOM, energy consumption, and logistics. For actual calculations, primary data directly from suppliers and operations would be preferred. Where primary data is unavailable, high-quality secondary data from recognized databases like Ecoinvent (e.g., version 3.12, 2025 data, using market-for emission factors) and DEFRA (2025 updates) is used.</w:t>
      </w:r>
    </w:p>
    <w:p>
      <w:pPr>
        <w:numPr>
          <w:ilvl w:val="0"/>
          <w:numId w:val="1018"/>
        </w:numPr>
        <w:pStyle w:val="Compact"/>
      </w:pPr>
      <w:r>
        <w:rPr>
          <w:bCs/>
          <w:b/>
        </w:rPr>
        <w:t xml:space="preserve">Illustrative Nature:</w:t>
      </w:r>
      <w:r>
        <w:t xml:space="preserve"> </w:t>
      </w:r>
      <w:r>
        <w:t xml:space="preserve">It is reiterated that the calculations presented in this report are illustrative due to the placeholder nature of several input parameters. A precise PCF would require specific numerical values for all parameters.</w:t>
      </w:r>
    </w:p>
    <w:p>
      <w:pPr>
        <w:numPr>
          <w:ilvl w:val="0"/>
          <w:numId w:val="1018"/>
        </w:numPr>
        <w:pStyle w:val="Compact"/>
      </w:pPr>
      <w:r>
        <w:rPr>
          <w:bCs/>
          <w:b/>
        </w:rPr>
        <w:t xml:space="preserve">System Boundary Extension:</w:t>
      </w:r>
      <w:r>
        <w:t xml:space="preserve"> </w:t>
      </w:r>
      <w:r>
        <w:t xml:space="preserve">While the primary boundary is \'factory_gate\', the inclusion of Use Phase and End-of-Life provides a more comprehensive picture, aligning with a \'cradle-to-grave\' perspective for certain impact categories.</w:t>
      </w:r>
    </w:p>
    <w:bookmarkEnd w:id="48"/>
    <w:bookmarkStart w:id="49" w:name="overall-pcf-summary-illustrative"/>
    <w:p>
      <w:pPr>
        <w:pStyle w:val="Heading3"/>
      </w:pPr>
      <w:r>
        <w:t xml:space="preserve">5.3. Overall PCF Summary (Illustrative)</w:t>
      </w:r>
    </w:p>
    <w:p>
      <w:pPr>
        <w:pStyle w:val="FirstParagraph"/>
      </w:pPr>
      <w:r>
        <w:t xml:space="preserve">An illustrative summary of the carbon footprint for 1.0 unit of ezowhplgnu:</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Illustrative Emissions (kg CO2e)</w:t>
            </w:r>
          </w:p>
        </w:tc>
        <w:tc>
          <w:tcPr/>
          <w:p>
            <w:pPr>
              <w:pStyle w:val="Compact"/>
              <w:jc w:val="left"/>
            </w:pPr>
            <w:r>
              <w:t xml:space="preserve">% of Total</w:t>
            </w:r>
          </w:p>
        </w:tc>
      </w:tr>
      <w:tr>
        <w:tc>
          <w:tcPr/>
          <w:p>
            <w:pPr>
              <w:pStyle w:val="Compact"/>
              <w:jc w:val="left"/>
            </w:pPr>
            <w:r>
              <w:t xml:space="preserve">Scope 1 (Direct Operations)</w:t>
            </w:r>
          </w:p>
        </w:tc>
        <w:tc>
          <w:tcPr/>
          <w:p>
            <w:pPr>
              <w:pStyle w:val="Compact"/>
              <w:jc w:val="left"/>
            </w:pPr>
            <w:r>
              <w:t xml:space="preserve">200.00</w:t>
            </w:r>
          </w:p>
        </w:tc>
        <w:tc>
          <w:tcPr/>
          <w:p>
            <w:pPr>
              <w:pStyle w:val="Compact"/>
              <w:jc w:val="left"/>
            </w:pPr>
            <w:r>
              <w:t xml:space="preserve">0.5%</w:t>
            </w:r>
          </w:p>
        </w:tc>
      </w:tr>
      <w:tr>
        <w:tc>
          <w:tcPr/>
          <w:p>
            <w:pPr>
              <w:pStyle w:val="Compact"/>
              <w:jc w:val="left"/>
            </w:pPr>
            <w:r>
              <w:t xml:space="preserve">Scope 2 (Purchased Electricity)</w:t>
            </w:r>
          </w:p>
        </w:tc>
        <w:tc>
          <w:tcPr/>
          <w:p>
            <w:pPr>
              <w:pStyle w:val="Compact"/>
              <w:jc w:val="left"/>
            </w:pPr>
            <w:r>
              <w:t xml:space="preserve">21.00</w:t>
            </w:r>
          </w:p>
        </w:tc>
        <w:tc>
          <w:tcPr/>
          <w:p>
            <w:pPr>
              <w:pStyle w:val="Compact"/>
              <w:jc w:val="left"/>
            </w:pPr>
            <w:r>
              <w:t xml:space="preserve">0.05%</w:t>
            </w:r>
          </w:p>
        </w:tc>
      </w:tr>
      <w:tr>
        <w:tc>
          <w:tcPr/>
          <w:p>
            <w:pPr>
              <w:pStyle w:val="Compact"/>
              <w:jc w:val="left"/>
            </w:pPr>
            <w:r>
              <w:rPr>
                <w:bCs/>
                <w:b/>
              </w:rPr>
              <w:t xml:space="preserve">Scope 3 (Value Chain)</w:t>
            </w:r>
          </w:p>
        </w:tc>
        <w:tc>
          <w:tcPr/>
          <w:p>
            <w:pPr>
              <w:pStyle w:val="Compact"/>
            </w:pPr>
          </w:p>
        </w:tc>
        <w:tc>
          <w:tcPr/>
          <w:p>
            <w:pPr>
              <w:pStyle w:val="Compact"/>
            </w:pPr>
          </w:p>
        </w:tc>
      </w:tr>
      <w:tr>
        <w:tc>
          <w:tcPr/>
          <w:p>
            <w:pPr>
              <w:pStyle w:val="Compact"/>
              <w:jc w:val="left"/>
            </w:pPr>
            <w:r>
              <w:t xml:space="preserve">    Category 1: Purchased Goods &amp; Services</w:t>
            </w:r>
          </w:p>
        </w:tc>
        <w:tc>
          <w:tcPr/>
          <w:p>
            <w:pPr>
              <w:pStyle w:val="Compact"/>
              <w:jc w:val="left"/>
            </w:pPr>
            <w:r>
              <w:t xml:space="preserve">6.35</w:t>
            </w:r>
          </w:p>
        </w:tc>
        <w:tc>
          <w:tcPr/>
          <w:p>
            <w:pPr>
              <w:pStyle w:val="Compact"/>
              <w:jc w:val="left"/>
            </w:pPr>
            <w:r>
              <w:t xml:space="preserve">0.015%</w:t>
            </w:r>
          </w:p>
        </w:tc>
      </w:tr>
      <w:tr>
        <w:tc>
          <w:tcPr/>
          <w:p>
            <w:pPr>
              <w:pStyle w:val="Compact"/>
              <w:jc w:val="left"/>
            </w:pPr>
            <w:r>
              <w:t xml:space="preserve">    Category 4: Upstream Transport &amp; Distribution</w:t>
            </w:r>
          </w:p>
        </w:tc>
        <w:tc>
          <w:tcPr/>
          <w:p>
            <w:pPr>
              <w:pStyle w:val="Compact"/>
              <w:jc w:val="left"/>
            </w:pPr>
            <w:r>
              <w:t xml:space="preserve">0.05</w:t>
            </w:r>
          </w:p>
        </w:tc>
        <w:tc>
          <w:tcPr/>
          <w:p>
            <w:pPr>
              <w:pStyle w:val="Compact"/>
              <w:jc w:val="left"/>
            </w:pPr>
            <w:r>
              <w:t xml:space="preserve">&lt;0.01%</w:t>
            </w:r>
          </w:p>
        </w:tc>
      </w:tr>
      <w:tr>
        <w:tc>
          <w:tcPr/>
          <w:p>
            <w:pPr>
              <w:pStyle w:val="Compact"/>
              <w:jc w:val="left"/>
            </w:pPr>
            <w:r>
              <w:t xml:space="preserve">    Category 9: Downstream Transport &amp; Distribution</w:t>
            </w:r>
          </w:p>
        </w:tc>
        <w:tc>
          <w:tcPr/>
          <w:p>
            <w:pPr>
              <w:pStyle w:val="Compact"/>
              <w:jc w:val="left"/>
            </w:pPr>
            <w:r>
              <w:t xml:space="preserve">0.10</w:t>
            </w:r>
          </w:p>
        </w:tc>
        <w:tc>
          <w:tcPr/>
          <w:p>
            <w:pPr>
              <w:pStyle w:val="Compact"/>
              <w:jc w:val="left"/>
            </w:pPr>
            <w:r>
              <w:t xml:space="preserve">&lt;0.01%</w:t>
            </w:r>
          </w:p>
        </w:tc>
      </w:tr>
      <w:tr>
        <w:tc>
          <w:tcPr/>
          <w:p>
            <w:pPr>
              <w:pStyle w:val="Compact"/>
              <w:jc w:val="left"/>
            </w:pPr>
            <w:r>
              <w:t xml:space="preserve">    Category 11: Use of Sold Products</w:t>
            </w:r>
          </w:p>
        </w:tc>
        <w:tc>
          <w:tcPr/>
          <w:p>
            <w:pPr>
              <w:pStyle w:val="Compact"/>
              <w:jc w:val="left"/>
            </w:pPr>
            <w:r>
              <w:t xml:space="preserve">30.00</w:t>
            </w:r>
          </w:p>
        </w:tc>
        <w:tc>
          <w:tcPr/>
          <w:p>
            <w:pPr>
              <w:pStyle w:val="Compact"/>
              <w:jc w:val="left"/>
            </w:pPr>
            <w:r>
              <w:t xml:space="preserve">0.07%</w:t>
            </w:r>
          </w:p>
        </w:tc>
      </w:tr>
      <w:tr>
        <w:tc>
          <w:tcPr/>
          <w:p>
            <w:pPr>
              <w:pStyle w:val="Compact"/>
              <w:jc w:val="left"/>
            </w:pPr>
            <w:r>
              <w:t xml:space="preserve">    Category 12: End-of-Life Treatment</w:t>
            </w:r>
          </w:p>
        </w:tc>
        <w:tc>
          <w:tcPr/>
          <w:p>
            <w:pPr>
              <w:pStyle w:val="Compact"/>
              <w:jc w:val="left"/>
            </w:pPr>
            <w:r>
              <w:t xml:space="preserve">0.44</w:t>
            </w:r>
          </w:p>
        </w:tc>
        <w:tc>
          <w:tcPr/>
          <w:p>
            <w:pPr>
              <w:pStyle w:val="Compact"/>
              <w:jc w:val="left"/>
            </w:pPr>
            <w:r>
              <w:t xml:space="preserve">&lt;0.01%</w:t>
            </w:r>
          </w:p>
        </w:tc>
      </w:tr>
      <w:tr>
        <w:tc>
          <w:tcPr/>
          <w:p>
            <w:pPr>
              <w:pStyle w:val="Compact"/>
              <w:jc w:val="left"/>
            </w:pPr>
            <w:r>
              <w:rPr>
                <w:bCs/>
                <w:b/>
              </w:rPr>
              <w:t xml:space="preserve">Total PCF (Illustrative)</w:t>
            </w:r>
          </w:p>
        </w:tc>
        <w:tc>
          <w:tcPr/>
          <w:p>
            <w:pPr>
              <w:pStyle w:val="Compact"/>
              <w:jc w:val="left"/>
            </w:pPr>
            <w:r>
              <w:rPr>
                <w:bCs/>
                <w:b/>
              </w:rPr>
              <w:t xml:space="preserve">257.94</w:t>
            </w:r>
          </w:p>
        </w:tc>
        <w:tc>
          <w:tcPr/>
          <w:p>
            <w:pPr>
              <w:pStyle w:val="Compact"/>
              <w:jc w:val="left"/>
            </w:pPr>
            <w:r>
              <w:rPr>
                <w:bCs/>
                <w:b/>
              </w:rPr>
              <w:t xml:space="preserve">100%</w:t>
            </w:r>
          </w:p>
        </w:tc>
      </w:tr>
    </w:tbl>
    <w:p>
      <w:pPr>
        <w:pStyle w:val="BodyText"/>
      </w:pPr>
      <w:r>
        <w:rPr>
          <w:iCs/>
          <w:i/>
        </w:rPr>
        <w:t xml:space="preserve">Note: The "Total PCF (Illustrative)" includes Scope 1, Scope 2, and the expanded Scope 3 categories for a comprehensive overview, even if the primary system boundary is \'factory_gate\'. Percentage calculations are based on these illustrative figures.</w:t>
      </w:r>
    </w:p>
    <w:bookmarkEnd w:id="49"/>
    <w:bookmarkEnd w:id="50"/>
    <w:bookmarkStart w:id="51" w:name="recommendations"/>
    <w:p>
      <w:pPr>
        <w:pStyle w:val="Heading2"/>
      </w:pPr>
      <w:r>
        <w:t xml:space="preserve">Recommendations</w:t>
      </w:r>
    </w:p>
    <w:p>
      <w:pPr>
        <w:pStyle w:val="FirstParagraph"/>
      </w:pPr>
      <w:r>
        <w:t xml:space="preserve">Based on this preliminary analysis, ttunesdvts should consider the following recommendations:</w:t>
      </w:r>
    </w:p>
    <w:p>
      <w:pPr>
        <w:numPr>
          <w:ilvl w:val="0"/>
          <w:numId w:val="1019"/>
        </w:numPr>
        <w:pStyle w:val="Compact"/>
      </w:pPr>
      <w:r>
        <w:rPr>
          <w:bCs/>
          <w:b/>
        </w:rPr>
        <w:t xml:space="preserve">Supplier Engagement for BOM Optimization:</w:t>
      </w:r>
      <w:r>
        <w:t xml:space="preserve"> </w:t>
      </w:r>
      <w:r>
        <w:t xml:space="preserve">Work closely with suppliers to identify lower-carbon alternatives for high-impact materials identified in the BOM (okynjdyo). Requesting product-specific environmental product declarations (EPDs) from suppliers can significantly improve data accuracy.</w:t>
      </w:r>
    </w:p>
    <w:p>
      <w:pPr>
        <w:numPr>
          <w:ilvl w:val="0"/>
          <w:numId w:val="1019"/>
        </w:numPr>
        <w:pStyle w:val="Compact"/>
      </w:pPr>
      <w:r>
        <w:rPr>
          <w:bCs/>
          <w:b/>
        </w:rPr>
        <w:t xml:space="preserve">Renewable Energy Transition:</w:t>
      </w:r>
      <w:r>
        <w:t xml:space="preserve"> </w:t>
      </w:r>
      <w:r>
        <w:t xml:space="preserve">Continue increasing the proportion of renewable energy usage (eldqtdgfzv) in manufacturing operations in China. Explore options for purchasing renewable energy credits or investing in on-site renewable generation.</w:t>
      </w:r>
    </w:p>
    <w:p>
      <w:pPr>
        <w:numPr>
          <w:ilvl w:val="0"/>
          <w:numId w:val="1019"/>
        </w:numPr>
        <w:pStyle w:val="Compact"/>
      </w:pPr>
      <w:r>
        <w:rPr>
          <w:bCs/>
          <w:b/>
        </w:rPr>
        <w:t xml:space="preserve">Logistics Efficiency:</w:t>
      </w:r>
      <w:r>
        <w:t xml:space="preserve"> </w:t>
      </w:r>
      <w:r>
        <w:t xml:space="preserve">Optimize transportation routes and modes (Select Mode, wmfylsnkkz) for both inbound and outbound logistics. Prioritize lower-emission options like sea or rail freight over air freight where feasible, and explore electric or alternative-fuel vehicles for last-mile delivery (Delivery Type).</w:t>
      </w:r>
    </w:p>
    <w:p>
      <w:pPr>
        <w:numPr>
          <w:ilvl w:val="0"/>
          <w:numId w:val="1019"/>
        </w:numPr>
        <w:pStyle w:val="Compact"/>
      </w:pPr>
      <w:r>
        <w:rPr>
          <w:bCs/>
          <w:b/>
        </w:rPr>
        <w:t xml:space="preserve">Product Design for Longevity &amp; Circularity:</w:t>
      </w:r>
      <w:r>
        <w:t xml:space="preserve"> </w:t>
      </w:r>
      <w:r>
        <w:t xml:space="preserve">Focus on designing ezowhplgnu for extended Product Lifespan (mzidpjxhop) and enhanced reparability. Actively promote and expand Circular/Take-back Programs (vsxrneffxu) to maximize material recovery and reuse, thus improving the Recyclability Percentage (gopwwpoipw).</w:t>
      </w:r>
    </w:p>
    <w:p>
      <w:pPr>
        <w:numPr>
          <w:ilvl w:val="0"/>
          <w:numId w:val="1019"/>
        </w:numPr>
        <w:pStyle w:val="Compact"/>
      </w:pPr>
      <w:r>
        <w:rPr>
          <w:bCs/>
          <w:b/>
        </w:rPr>
        <w:t xml:space="preserve">User Phase Energy Efficiency:</w:t>
      </w:r>
      <w:r>
        <w:t xml:space="preserve"> </w:t>
      </w:r>
      <w:r>
        <w:t xml:space="preserve">Develop and promote energy-efficient use patterns for ezowhplgnu. Provide clear guidance to consumers on how to minimize energy consumption during the product\'s operational life (kjekesqzio).</w:t>
      </w:r>
    </w:p>
    <w:p>
      <w:pPr>
        <w:numPr>
          <w:ilvl w:val="0"/>
          <w:numId w:val="1019"/>
        </w:numPr>
        <w:pStyle w:val="Compact"/>
      </w:pPr>
      <w:r>
        <w:rPr>
          <w:bCs/>
          <w:b/>
        </w:rPr>
        <w:t xml:space="preserve">LSR Standard Preparedness:</w:t>
      </w:r>
      <w:r>
        <w:t xml:space="preserve"> </w:t>
      </w:r>
      <w:r>
        <w:t xml:space="preserve">Given the 2026 LSR update, ttunesdvts should proactively assess if any agricultural or land-based inputs in its supply chain require specific accounting under this new standard, and prepare for its effective date of January 1, 2027.</w:t>
      </w:r>
    </w:p>
    <w:p>
      <w:r>
        <w:pict>
          <v:rect style="width:0;height:1.5pt" o:hralign="center" o:hrstd="t" o:hr="t"/>
        </w:pict>
      </w:r>
    </w:p>
    <w:bookmarkEnd w:id="51"/>
    <w:bookmarkStart w:id="52" w:name="consultant-statement"/>
    <w:p>
      <w:pPr>
        <w:pStyle w:val="Heading2"/>
      </w:pPr>
      <w:r>
        <w:t xml:space="preserve">Consultant Statement</w:t>
      </w:r>
    </w:p>
    <w:p>
      <w:pPr>
        <w:pStyle w:val="FirstParagraph"/>
      </w:pPr>
      <w:r>
        <w:t xml:space="preserve">This Product Carbon Footprint analysis for ezowhplgnu has been performed by</w:t>
      </w:r>
      <w:r>
        <w:t xml:space="preserve"> </w:t>
      </w:r>
      <w:r>
        <w:rPr>
          <w:bCs/>
          <w:b/>
        </w:rPr>
        <w:t xml:space="preserve">nqjzpifuzw</w:t>
      </w:r>
      <w:r>
        <w:t xml:space="preserve">, Senior Sustainability Consultant, on behalf of</w:t>
      </w:r>
      <w:r>
        <w:t xml:space="preserve"> </w:t>
      </w:r>
      <w:r>
        <w:rPr>
          <w:bCs/>
          <w:b/>
        </w:rPr>
        <w:t xml:space="preserve">ttunesdvts</w:t>
      </w:r>
      <w:r>
        <w:t xml:space="preserve">. The methodologies and reporting standards applied are in strict accordance with the Greenhouse Gas Protocol to ensure accuracy and comparability.</w:t>
      </w:r>
    </w:p>
    <w:bookmarkEnd w:id="52"/>
    <w:bookmarkEnd w:id="53"/>
    <w:p>
      <w:pPr>
        <w:pStyle w:val="BodyText"/>
      </w:pPr>
      <w:r>
        <w:t xml:space="preserve">Confidential - Internal Use Only | Page</w:t>
      </w:r>
      <w:r>
        <w:t xml:space="preserve"> </w:t>
      </w:r>
      <w:bookmarkStart w:id="54" w:name="pageNumber"/>
      <w:bookmarkEnd w:id="54"/>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ezowhplgnu - ttunesdvts</dc:title>
  <dc:creator/>
  <dc:description>Detailed Product Carbon Footprint (PCF) analysis for ezowhplgnu, performed by nqjzpifuzw for ttunesdvts, adhering to the GHG Protocol.</dc:description>
  <dc:language>en</dc:language>
  <cp:keywords/>
  <dcterms:created xsi:type="dcterms:W3CDTF">2026-07-15T02:54:51Z</dcterms:created>
  <dcterms:modified xsi:type="dcterms:W3CDTF">2026-07-15T02:54:51Z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