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eyoqqdwfnw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eyoqqdwfnw</w:t>
      </w:r>
    </w:p>
    <w:p>
      <w:pPr>
        <w:pStyle w:val="BodyText"/>
      </w:pPr>
      <w:r>
        <w:rPr>
          <w:bCs/>
          <w:b/>
        </w:rPr>
        <w:t xml:space="preserve">Company:</w:t>
      </w:r>
      <w:r>
        <w:t xml:space="preserve"> </w:t>
      </w:r>
      <w:r>
        <w:t xml:space="preserve">kdhxytysjm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idrjwortzm</w:t>
      </w:r>
    </w:p>
    <w:p>
      <w:pPr>
        <w:pStyle w:val="BodyText"/>
      </w:pPr>
      <w:r>
        <w:t xml:space="preserve">Disclaimer: This report is generated based on available data and industry standards at the time of publication. All specific input parameters (e.g., BOM details, distances, energy consumption) are represented by placeholder values as provided and are used for illustrative methodology demonstration. Actual numerical calculations would require precise, verifiable quantitative data.</w:t>
      </w:r>
    </w:p>
    <w:bookmarkEnd w:id="20"/>
    <w:p>
      <w:r>
        <w:pict>
          <v:rect style="width:0;height:1.5pt" o:hralign="center" o:hrstd="t" o:hr="t"/>
        </w:pict>
      </w:r>
    </w:p>
    <w:bookmarkStart w:id="40" w:name="Xd6f503974c4051996c5d2840e812efeb7d7cb4d"/>
    <w:p>
      <w:pPr>
        <w:pStyle w:val="Heading1"/>
      </w:pPr>
      <w:r>
        <w:t xml:space="preserve">Product Carbon Footprint Analysis Report for eyoqqdwfnw</w:t>
      </w:r>
    </w:p>
    <w:p>
      <w:pPr>
        <w:pStyle w:val="FirstParagraph"/>
      </w:pPr>
      <w:r>
        <w:rPr>
          <w:bCs/>
          <w:b/>
        </w:rPr>
        <w:t xml:space="preserve">Generated Date:</w:t>
      </w:r>
      <w:r>
        <w:t xml:space="preserve"> </w:t>
      </w:r>
      <w:r>
        <w:t xml:space="preserve">June 2, 2026</w:t>
      </w:r>
    </w:p>
    <w:p>
      <w:pPr>
        <w:pStyle w:val="BodyText"/>
      </w:pPr>
      <w:r>
        <w:rPr>
          <w:bCs/>
          <w:b/>
        </w:rPr>
        <w:t xml:space="preserve">Company Name:</w:t>
      </w:r>
      <w:r>
        <w:t xml:space="preserve"> </w:t>
      </w:r>
      <w:r>
        <w:t xml:space="preserve">kdhxytysjm</w:t>
      </w:r>
    </w:p>
    <w:p>
      <w:pPr>
        <w:pStyle w:val="BodyText"/>
      </w:pPr>
      <w:r>
        <w:rPr>
          <w:bCs/>
          <w:b/>
        </w:rPr>
        <w:t xml:space="preserve">Senior Sustainability Consultant:</w:t>
      </w:r>
      <w:r>
        <w:t xml:space="preserve"> </w:t>
      </w:r>
      <w:r>
        <w:t xml:space="preserve">idrjwortzm</w: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 "eyoqqdwfnw" manufactured by kdhxytysjm. The analysis adheres to the Greenhouse Gas (GHG) Protocol, an internationally recognized accounting standard, ensuring a comprehensive assessment of greenhouse gas emissions across the product\'s lifecycle. As idrjwortzm, Senior Sustainability Consultant, this analysis incorporates the 2026 Land Sector and Removals (LSR) Standard and aims for at least 95% coverage for Scope 3 emissions reporting, aligning with the latest requirements. The methodology covers defining the scope, mapping the lifecycle, collecting data, calculating emissions, and reviewing findings to identify emission hotspots and enhance reliability.</w:t>
      </w:r>
    </w:p>
    <w:p>
      <w:r>
        <w:pict>
          <v:rect style="width:0;height:1.5pt" o:hralign="center" o:hrstd="t" o:hr="t"/>
        </w:pict>
      </w:r>
    </w:p>
    <w:bookmarkStart w:id="22" w:name="define-scope"/>
    <w:p>
      <w:pPr>
        <w:pStyle w:val="Heading2"/>
      </w:pPr>
      <w:r>
        <w:t xml:space="preserve">1. Define Scope</w:t>
      </w:r>
    </w:p>
    <w:bookmarkEnd w:id="22"/>
    <w:p>
      <w:pPr>
        <w:pStyle w:val="FirstParagraph"/>
      </w:pPr>
      <w:r>
        <w:t xml:space="preserve">The initial phase of the PCF analysis establishes the boundaries and parameters for accurate and consistent emission quantification.</w:t>
      </w:r>
    </w:p>
    <w:bookmarkStart w:id="23" w:name="functional-unit"/>
    <w:p>
      <w:pPr>
        <w:pStyle w:val="Heading3"/>
      </w:pPr>
      <w:r>
        <w:t xml:space="preserve">Functional Unit</w:t>
      </w:r>
    </w:p>
    <w:p>
      <w:pPr>
        <w:numPr>
          <w:ilvl w:val="0"/>
          <w:numId w:val="1001"/>
        </w:numPr>
        <w:pStyle w:val="Compact"/>
      </w:pPr>
      <w:r>
        <w:t xml:space="preserve">The functional unit for this analysis is defined as</w:t>
      </w:r>
      <w:r>
        <w:t xml:space="preserve"> </w:t>
      </w:r>
      <w:r>
        <w:rPr>
          <w:bCs/>
          <w:b/>
        </w:rPr>
        <w:t xml:space="preserve">1.0 unit of eyoqqdwfnw</w:t>
      </w:r>
      <w:r>
        <w:t xml:space="preserve">, serving as the reference for all input and output flows and subsequent calculations.</w:t>
      </w:r>
    </w:p>
    <w:bookmarkEnd w:id="23"/>
    <w:bookmarkStart w:id="24" w:name="system-boundary"/>
    <w:p>
      <w:pPr>
        <w:pStyle w:val="Heading3"/>
      </w:pPr>
      <w:r>
        <w:t xml:space="preserve">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processes from raw material acquisition through manufacturing up to the point the finished product leaves the factory gate. This includes upstream emissions from raw material extraction, processing, and transportation to the factory, as well as emissions directly associated with the manufacturing processes. Downstream phases (use and end-of-life) are addressed as per specific parameters provided.</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that while final production is in China, significant upstream material sourcing and distribution aspects are relevant to Europe.</w:t>
      </w:r>
    </w:p>
    <w:bookmarkEnd w:id="25"/>
    <w:bookmarkStart w:id="26" w:name="accounting-standard"/>
    <w:p>
      <w:pPr>
        <w:pStyle w:val="Heading3"/>
      </w:pPr>
      <w:r>
        <w:t xml:space="preserve">Accounting Standard</w:t>
      </w:r>
    </w:p>
    <w:p>
      <w:pPr>
        <w:numPr>
          <w:ilvl w:val="0"/>
          <w:numId w:val="1004"/>
        </w:numPr>
        <w:pStyle w:val="Compact"/>
      </w:pPr>
      <w:r>
        <w:t xml:space="preserve">This PCF analysis strictly adheres to the</w:t>
      </w:r>
      <w:r>
        <w:t xml:space="preserve"> </w:t>
      </w:r>
      <w:r>
        <w:rPr>
          <w:bCs/>
          <w:b/>
        </w:rPr>
        <w:t xml:space="preserve">GHG Protocol</w:t>
      </w:r>
      <w:r>
        <w:t xml:space="preserve">, providing a standardized framework for measuring and managing greenhouse gas emissions.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Allocation</w:t>
      </w:r>
    </w:p>
    <w:p>
      <w:pPr>
        <w:numPr>
          <w:ilvl w:val="0"/>
          <w:numId w:val="1005"/>
        </w:numPr>
        <w:pStyle w:val="Compact"/>
      </w:pPr>
      <w:r>
        <w:t xml:space="preserve">Emissions are allocated based on mass where appropriate, ensuring that the environmental burden is proportionally assigned to the product unit. Co-product and recycling allocations follow GHG Protocol guidance, typically using a combination of system expansion and recycled content methods as relevant to the specific material flows.</w:t>
      </w:r>
    </w:p>
    <w:p>
      <w:r>
        <w:pict>
          <v:rect style="width:0;height:1.5pt" o:hralign="center" o:hrstd="t" o:hr="t"/>
        </w:pict>
      </w:r>
    </w:p>
    <w:bookmarkEnd w:id="27"/>
    <w:bookmarkStart w:id="28" w:name="map-lifecycle-3.-collect-data"/>
    <w:p>
      <w:pPr>
        <w:pStyle w:val="Heading2"/>
      </w:pPr>
      <w:r>
        <w:t xml:space="preserve">2. Map Lifecycle &amp; 3. Collect Data</w:t>
      </w:r>
    </w:p>
    <w:bookmarkEnd w:id="28"/>
    <w:p>
      <w:pPr>
        <w:pStyle w:val="FirstParagraph"/>
      </w:pPr>
      <w:r>
        <w:t xml:space="preserve">This section details the lifecycle stages of eyoqqdwfnw and outlines the primary and secondary data points collected for emission calculation. Due to the placeholder nature of the input parameters (e.g., \'vvkupmmx\', \'zxfqsktvdo\', etc.), the data presented below are illustrative representations of how actual quantitative data would be integrated into the analysis.</w:t>
      </w:r>
    </w:p>
    <w:bookmarkStart w:id="29" w:name="X03009c137a43313aa2402a234267084e196d2e6"/>
    <w:p>
      <w:pPr>
        <w:pStyle w:val="Heading3"/>
      </w:pPr>
      <w:r>
        <w:t xml:space="preserve">Detailed Bill of Materials (BOM) - Upstream Emissions (Scope 3, Category 1)</w:t>
      </w:r>
    </w:p>
    <w:p>
      <w:pPr>
        <w:pStyle w:val="FirstParagraph"/>
      </w:pPr>
      <w:r>
        <w:t xml:space="preserve">The Bill of Materials (BOM) provides a high-accuracy basis for material impact calculation. The provided placeholder "vvkupmmx" is structured to include ID, Description, Category, Process, Quantity (Qty), Unit, Emission Factor, and Total Carbon for each item. An illustrative example of how such data would be integrated is shown below, using generic material types and example emission factors (EFs) sourced from industry databases (e.g., Ecoinvent, DEFRA) for reference.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Generic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[Placeholder Qty]</w:t>
            </w:r>
          </w:p>
        </w:tc>
        <w:tc>
          <w:tcPr/>
          <w:p>
            <w:pPr>
              <w:pStyle w:val="Compact"/>
              <w:jc w:val="left"/>
            </w:pPr>
            <w:r>
              <w:t xml:space="preserve">kg</w:t>
            </w:r>
          </w:p>
        </w:tc>
        <w:tc>
          <w:tcPr/>
          <w:p>
            <w:pPr>
              <w:pStyle w:val="Compact"/>
              <w:jc w:val="left"/>
            </w:pPr>
            <w:r>
              <w:t xml:space="preserve">3.0 (e.g., general plastic)</w:t>
            </w:r>
          </w:p>
        </w:tc>
        <w:tc>
          <w:tcPr/>
          <w:p>
            <w:pPr>
              <w:pStyle w:val="Compact"/>
              <w:jc w:val="left"/>
            </w:pPr>
            <w:r>
              <w:t xml:space="preserve">[Placeholder Qty * 3.0]</w:t>
            </w:r>
          </w:p>
        </w:tc>
      </w:tr>
      <w:tr>
        <w:tc>
          <w:tcPr/>
          <w:p>
            <w:pPr>
              <w:pStyle w:val="Compact"/>
              <w:jc w:val="left"/>
            </w:pPr>
            <w:r>
              <w:t xml:space="preserve">M-002</w:t>
            </w:r>
          </w:p>
        </w:tc>
        <w:tc>
          <w:tcPr/>
          <w:p>
            <w:pPr>
              <w:pStyle w:val="Compact"/>
              <w:jc w:val="left"/>
            </w:pPr>
            <w:r>
              <w:t xml:space="preserve">Internal Metal Component</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[Placeholder Qty]</w:t>
            </w:r>
          </w:p>
        </w:tc>
        <w:tc>
          <w:tcPr/>
          <w:p>
            <w:pPr>
              <w:pStyle w:val="Compact"/>
              <w:jc w:val="left"/>
            </w:pPr>
            <w:r>
              <w:t xml:space="preserve">kg</w:t>
            </w:r>
          </w:p>
        </w:tc>
        <w:tc>
          <w:tcPr/>
          <w:p>
            <w:pPr>
              <w:pStyle w:val="Compact"/>
              <w:jc w:val="left"/>
            </w:pPr>
            <w:r>
              <w:t xml:space="preserve">1.36 (e.g., steel)</w:t>
            </w:r>
          </w:p>
        </w:tc>
        <w:tc>
          <w:tcPr/>
          <w:p>
            <w:pPr>
              <w:pStyle w:val="Compact"/>
              <w:jc w:val="left"/>
            </w:pPr>
            <w:r>
              <w:t xml:space="preserve">[Placeholder Qty * 1.36]</w:t>
            </w:r>
          </w:p>
        </w:tc>
      </w:tr>
      <w:tr>
        <w:tc>
          <w:tcPr/>
          <w:p>
            <w:pPr>
              <w:pStyle w:val="Compact"/>
              <w:jc w:val="left"/>
            </w:pPr>
            <w:r>
              <w:t xml:space="preserve">M-003</w:t>
            </w:r>
          </w:p>
        </w:tc>
        <w:tc>
          <w:tcPr/>
          <w:p>
            <w:pPr>
              <w:pStyle w:val="Compact"/>
              <w:jc w:val="left"/>
            </w:pPr>
            <w:r>
              <w:t xml:space="preserve">Electronic Circuitry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[Placeholder Qty]</w:t>
            </w:r>
          </w:p>
        </w:tc>
        <w:tc>
          <w:tcPr/>
          <w:p>
            <w:pPr>
              <w:pStyle w:val="Compact"/>
              <w:jc w:val="left"/>
            </w:pPr>
            <w:r>
              <w:t xml:space="preserve">unit</w:t>
            </w:r>
          </w:p>
        </w:tc>
        <w:tc>
          <w:tcPr/>
          <w:p>
            <w:pPr>
              <w:pStyle w:val="Compact"/>
              <w:jc w:val="left"/>
            </w:pPr>
            <w:r>
              <w:t xml:space="preserve">[Specific EF for circuitry]</w:t>
            </w:r>
          </w:p>
        </w:tc>
        <w:tc>
          <w:tcPr/>
          <w:p>
            <w:pPr>
              <w:pStyle w:val="Compact"/>
              <w:jc w:val="left"/>
            </w:pPr>
            <w:r>
              <w:t xml:space="preserve">[Placeholder Qty * Specific EF]</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[Placeholder Qty]</w:t>
            </w:r>
          </w:p>
        </w:tc>
        <w:tc>
          <w:tcPr/>
          <w:p>
            <w:pPr>
              <w:pStyle w:val="Compact"/>
              <w:jc w:val="left"/>
            </w:pPr>
            <w:r>
              <w:t xml:space="preserve">kg</w:t>
            </w:r>
          </w:p>
        </w:tc>
        <w:tc>
          <w:tcPr/>
          <w:p>
            <w:pPr>
              <w:pStyle w:val="Compact"/>
              <w:jc w:val="left"/>
            </w:pPr>
            <w:r>
              <w:t xml:space="preserve">[Specific EF for paper]</w:t>
            </w:r>
          </w:p>
        </w:tc>
        <w:tc>
          <w:tcPr/>
          <w:p>
            <w:pPr>
              <w:pStyle w:val="Compact"/>
              <w:jc w:val="left"/>
            </w:pPr>
            <w:r>
              <w:t xml:space="preserve">[Placeholder Qty * Specific EF]</w:t>
            </w:r>
          </w:p>
        </w:tc>
      </w:tr>
    </w:tbl>
    <w:p>
      <w:pPr>
        <w:pStyle w:val="BodyText"/>
      </w:pPr>
      <w:r>
        <w:t xml:space="preserve">*Note: The \'[Placeholder Qty]\' and \'[Specific EF]\' values represent where the actual data from the detailed BOM (vvkupmmx) would be precisely incorporated. The \'Illustrative Emission Factor\' values are examples based on common industry averages for the material category. For instance, a general plastic emission factor of 3 kg CO2e/kg is used for illustration, and for steel, 1.36 kg CO2e/kg. Actual calculations would use the exact \'Emission Factor\' and \'Total Carbon\' provided for each item in the BOM.*</w:t>
      </w:r>
    </w:p>
    <w:bookmarkEnd w:id="29"/>
    <w:bookmarkStart w:id="30" w:name="production-energy-inputs-scope-1-2"/>
    <w:p>
      <w:pPr>
        <w:pStyle w:val="Heading3"/>
      </w:pPr>
      <w:r>
        <w:t xml:space="preserve">Production Energy Inputs (Scope 1 &amp; 2)</w:t>
      </w:r>
    </w:p>
    <w:p>
      <w:pPr>
        <w:pStyle w:val="FirstParagraph"/>
      </w:pPr>
      <w:r>
        <w:t xml:space="preserve">The energy consumed during the manufacturing process at the production facility in China is a critical input.</w:t>
      </w:r>
    </w:p>
    <w:p>
      <w:pPr>
        <w:numPr>
          <w:ilvl w:val="0"/>
          <w:numId w:val="1006"/>
        </w:numPr>
        <w:pStyle w:val="Compact"/>
      </w:pPr>
      <w:r>
        <w:rPr>
          <w:bCs/>
          <w:b/>
        </w:rPr>
        <w:t xml:space="preserve">Energy Intensity (kWh/unit):</w:t>
      </w:r>
      <w:r>
        <w:t xml:space="preserve"> </w:t>
      </w:r>
      <w:r>
        <w:t xml:space="preserve">vhqhujqhpj (This represents the electricity consumed per unit of eyoqqdwfnw produced.)</w:t>
      </w:r>
    </w:p>
    <w:p>
      <w:pPr>
        <w:numPr>
          <w:ilvl w:val="0"/>
          <w:numId w:val="1006"/>
        </w:numPr>
        <w:pStyle w:val="Compact"/>
      </w:pPr>
      <w:r>
        <w:rPr>
          <w:bCs/>
          <w:b/>
        </w:rPr>
        <w:t xml:space="preserve">Renewable Energy Usage:</w:t>
      </w:r>
      <w:r>
        <w:t xml:space="preserve"> </w:t>
      </w:r>
      <w:r>
        <w:t xml:space="preserve">lzxhpkjfff (This percentage indicates the portion of energy derived from renewable sources, impacting the grid electricity emission factor.)</w:t>
      </w:r>
    </w:p>
    <w:p>
      <w:pPr>
        <w:pStyle w:val="FirstParagraph"/>
      </w:pPr>
      <w:r>
        <w:t xml:space="preserve">For illustrative purposes, the average CO2 emission factor for electricity in China is approximately 0.5568 kg CO2/kWh (Ministry of Ecology and Environment of China, 2021). The \'lzxhpkjfff\' percentage would be used to adjust this grid factor to reflect the company\'s specific energy mix.</w:t>
      </w:r>
    </w:p>
    <w:bookmarkEnd w:id="30"/>
    <w:bookmarkStart w:id="31" w:name="X3f2b8d9f60b3d51a97b31315d74123edfe7d175"/>
    <w:p>
      <w:pPr>
        <w:pStyle w:val="Heading3"/>
      </w:pPr>
      <w:r>
        <w:t xml:space="preserve">Transport Logistics (Scope 3, Categories 4 &amp; 9)</w:t>
      </w:r>
    </w:p>
    <w:p>
      <w:pPr>
        <w:pStyle w:val="FirstParagraph"/>
      </w:pPr>
      <w:r>
        <w:t xml:space="preserve">Transportation emissions cover the movement of raw materials to the factory (upstream) and the delivery of the finished product to the customer (downstream).</w:t>
      </w:r>
    </w:p>
    <w:p>
      <w:pPr>
        <w:numPr>
          <w:ilvl w:val="0"/>
          <w:numId w:val="1007"/>
        </w:numPr>
        <w:pStyle w:val="Compact"/>
      </w:pPr>
      <w:r>
        <w:rPr>
          <w:bCs/>
          <w:b/>
        </w:rPr>
        <w:t xml:space="preserve">Transport Mode (main):</w:t>
      </w:r>
      <w:r>
        <w:t xml:space="preserve"> </w:t>
      </w:r>
      <w:r>
        <w:t xml:space="preserve">Select Mode</w:t>
      </w:r>
    </w:p>
    <w:p>
      <w:pPr>
        <w:numPr>
          <w:ilvl w:val="0"/>
          <w:numId w:val="1007"/>
        </w:numPr>
        <w:pStyle w:val="Compact"/>
      </w:pPr>
      <w:r>
        <w:rPr>
          <w:bCs/>
          <w:b/>
        </w:rPr>
        <w:t xml:space="preserve">Transport Distance:</w:t>
      </w:r>
      <w:r>
        <w:t xml:space="preserve"> </w:t>
      </w:r>
      <w:r>
        <w:t xml:space="preserve">zxfqsktvdo</w:t>
      </w:r>
    </w:p>
    <w:p>
      <w:pPr>
        <w:numPr>
          <w:ilvl w:val="0"/>
          <w:numId w:val="1007"/>
        </w:numPr>
        <w:pStyle w:val="Compact"/>
      </w:pPr>
      <w:r>
        <w:rPr>
          <w:bCs/>
          <w:b/>
        </w:rPr>
        <w:t xml:space="preserve">Last-Mile Delivery Channel:</w:t>
      </w:r>
      <w:r>
        <w:t xml:space="preserve"> </w:t>
      </w:r>
      <w:r>
        <w:t xml:space="preserve">Delivery Type</w:t>
      </w:r>
    </w:p>
    <w:p>
      <w:pPr>
        <w:pStyle w:val="FirstParagraph"/>
      </w:pPr>
      <w:r>
        <w:t xml:space="preserve">Example emission factors for various transport modes include:</w:t>
      </w:r>
    </w:p>
    <w:p>
      <w:pPr>
        <w:numPr>
          <w:ilvl w:val="0"/>
          <w:numId w:val="1008"/>
        </w:numPr>
        <w:pStyle w:val="Compact"/>
      </w:pPr>
      <w:r>
        <w:rPr>
          <w:bCs/>
          <w:b/>
        </w:rPr>
        <w:t xml:space="preserve">Road Transport:</w:t>
      </w:r>
      <w:r>
        <w:t xml:space="preserve"> </w:t>
      </w:r>
      <w:r>
        <w:t xml:space="preserve">Approximately 0.062 kg CO2e/tonne-km.</w:t>
      </w:r>
    </w:p>
    <w:p>
      <w:pPr>
        <w:numPr>
          <w:ilvl w:val="0"/>
          <w:numId w:val="1008"/>
        </w:numPr>
        <w:pStyle w:val="Compact"/>
      </w:pPr>
      <w:r>
        <w:rPr>
          <w:bCs/>
          <w:b/>
        </w:rPr>
        <w:t xml:space="preserve">Sea Freight (Container Ship):</w:t>
      </w:r>
      <w:r>
        <w:t xml:space="preserve"> </w:t>
      </w:r>
      <w:r>
        <w:t xml:space="preserve">Approximately 0.016 kg CO2e/tonne-km.</w:t>
      </w:r>
    </w:p>
    <w:p>
      <w:pPr>
        <w:numPr>
          <w:ilvl w:val="0"/>
          <w:numId w:val="1008"/>
        </w:numPr>
        <w:pStyle w:val="Compact"/>
      </w:pPr>
      <w:r>
        <w:rPr>
          <w:bCs/>
          <w:b/>
        </w:rPr>
        <w:t xml:space="preserve">Air Freight (Long Haul):</w:t>
      </w:r>
      <w:r>
        <w:t xml:space="preserve"> </w:t>
      </w:r>
      <w:r>
        <w:t xml:space="preserve">Approximately 0.600 kg CO2e/tonne-km.</w:t>
      </w:r>
    </w:p>
    <w:p>
      <w:pPr>
        <w:pStyle w:val="FirstParagraph"/>
      </w:pPr>
      <w:r>
        <w:t xml:space="preserve">The specific \'Select Mode\', \'zxfqsktvdo\' distance, and \'Delivery Type\' will be mapped to appropriate emission factors from databases like DEFRA or Ecoinvent to calculate emissions for each leg of the journey. For instance, \'zxfqsktvdo\' would be multiplied by the mass of the product/materials and the relevant emission factor for \'Select Mode\' and \'Delivery Type\'.</w:t>
      </w:r>
    </w:p>
    <w:p>
      <w:r>
        <w:pict>
          <v:rect style="width:0;height:1.5pt" o:hralign="center" o:hrstd="t" o:hr="t"/>
        </w:pict>
      </w:r>
    </w:p>
    <w:bookmarkEnd w:id="31"/>
    <w:bookmarkStart w:id="32" w:name="calculate-emissions"/>
    <w:p>
      <w:pPr>
        <w:pStyle w:val="Heading2"/>
      </w:pPr>
      <w:r>
        <w:t xml:space="preserve">4. Calculate Emissions</w:t>
      </w:r>
    </w:p>
    <w:bookmarkEnd w:id="32"/>
    <w:p>
      <w:pPr>
        <w:pStyle w:val="FirstParagraph"/>
      </w:pPr>
      <w:r>
        <w:t xml:space="preserve">Emission calculations are performed by multiplying activity data by relevant emission factors. This section outlines the methodology for categorizing emissions according to the GHG Protocol and incorporating specific parameters.</w:t>
      </w:r>
    </w:p>
    <w:bookmarkStart w:id="33" w:name="ghg-protocol-categorization"/>
    <w:p>
      <w:pPr>
        <w:pStyle w:val="Heading3"/>
      </w:pPr>
      <w:r>
        <w:t xml:space="preserve">GHG Protocol Categorization</w:t>
      </w:r>
    </w:p>
    <w:p>
      <w:pPr>
        <w:pStyle w:val="FirstParagraph"/>
      </w:pPr>
      <w:r>
        <w:t xml:space="preserve">Emissions for eyoqqdwfnw are categorized as follows:</w:t>
      </w:r>
    </w:p>
    <w:p>
      <w:pPr>
        <w:numPr>
          <w:ilvl w:val="0"/>
          <w:numId w:val="1009"/>
        </w:numPr>
        <w:pStyle w:val="Compact"/>
      </w:pPr>
      <w:r>
        <w:rPr>
          <w:bCs/>
          <w:b/>
        </w:rPr>
        <w:t xml:space="preserve">Scope 1: Direct Emissions</w:t>
      </w:r>
    </w:p>
    <w:p>
      <w:pPr>
        <w:numPr>
          <w:ilvl w:val="1"/>
          <w:numId w:val="1010"/>
        </w:numPr>
        <w:pStyle w:val="Compact"/>
      </w:pPr>
      <w:r>
        <w:t xml:space="preserve">These emissions result from sources owned or controlled by kdhxytysjm, such as direct fuel combustion in owned vehicles or on-site manufacturing processes not powered by purchased electricity. Given the "factory_gate" boundary, this would primarily include any direct fuel consumption at the manufacturing facility for processes like heating or on-site logistics.</w:t>
      </w:r>
    </w:p>
    <w:p>
      <w:pPr>
        <w:numPr>
          <w:ilvl w:val="0"/>
          <w:numId w:val="1009"/>
        </w:numPr>
        <w:pStyle w:val="Compact"/>
      </w:pPr>
      <w:r>
        <w:rPr>
          <w:bCs/>
          <w:b/>
        </w:rPr>
        <w:t xml:space="preserve">Scope 2: Purchased Energy Emissions</w:t>
      </w:r>
    </w:p>
    <w:p>
      <w:pPr>
        <w:numPr>
          <w:ilvl w:val="1"/>
          <w:numId w:val="1011"/>
        </w:numPr>
        <w:pStyle w:val="Compact"/>
      </w:pPr>
      <w:r>
        <w:t xml:space="preserve">These are indirect emissions from the generation of purchased electricity, heat, or steam consumed by kdhxytysjm. For eyoqqdwfnw\'s production in China, this primarily involves electricity consumption.</w:t>
      </w:r>
      <w:r>
        <w:br/>
      </w:r>
      <w:r>
        <w:rPr>
          <w:iCs/>
          <w:i/>
        </w:rPr>
        <w:t xml:space="preserve">Calculation:</w:t>
      </w:r>
      <w:r>
        <w:t xml:space="preserve"> </w:t>
      </w:r>
      <w:r>
        <w:t xml:space="preserve">(Energy Intensity (vhqhujqhpj) * (1 - Renewable Energy Usage (lzxhpkjfff)/100)) * (China Grid Emission Factor). For example, if vhqhujqhpj is 10 kWh/unit and lzxhpkjfff is 20%, with a grid EF of 0.5568 kg CO2/kWh: 10 kWh/unit * (1 - 0.20) * 0.5568 kg CO2/kWh = 4.4544 kg CO2e/unit.</w:t>
      </w:r>
    </w:p>
    <w:p>
      <w:pPr>
        <w:numPr>
          <w:ilvl w:val="0"/>
          <w:numId w:val="1009"/>
        </w:numPr>
        <w:pStyle w:val="Compact"/>
      </w:pPr>
      <w:r>
        <w:rPr>
          <w:bCs/>
          <w:b/>
        </w:rPr>
        <w:t xml:space="preserve">Scope 3: Value Chain Emissions</w:t>
      </w:r>
    </w:p>
    <w:p>
      <w:pPr>
        <w:numPr>
          <w:ilvl w:val="1"/>
          <w:numId w:val="1012"/>
        </w:numPr>
        <w:pStyle w:val="Compact"/>
      </w:pPr>
      <w:r>
        <w:t xml:space="preserve">These are all other indirect emissions that occur in the value chain of kdhxytysjm, both upstream and downstream. The GHG Protocol requires a comprehensive approach to Scope 3, and for this analysis, we ensure at least 95% coverage as per 2026 requirements.</w:t>
      </w:r>
    </w:p>
    <w:p>
      <w:pPr>
        <w:numPr>
          <w:ilvl w:val="1"/>
          <w:numId w:val="1012"/>
        </w:numPr>
        <w:pStyle w:val="Compact"/>
      </w:pPr>
      <w:r>
        <w:rPr>
          <w:bCs/>
          <w:b/>
        </w:rPr>
        <w:t xml:space="preserve">Category 1: Purchased Goods and Services (Materials)</w:t>
      </w:r>
    </w:p>
    <w:p>
      <w:pPr>
        <w:numPr>
          <w:ilvl w:val="2"/>
          <w:numId w:val="1013"/>
        </w:numPr>
        <w:pStyle w:val="Compact"/>
      </w:pPr>
      <w:r>
        <w:t xml:space="preserve">Emissions from the extraction, production, and transportation of raw materials and components (vvkupmmx) purchased or acquired by kdhxytysjm.</w:t>
      </w:r>
      <w:r>
        <w:br/>
      </w:r>
      <w:r>
        <w:rPr>
          <w:iCs/>
          <w:i/>
        </w:rPr>
        <w:t xml:space="preserve">Calculation:</w:t>
      </w:r>
      <w:r>
        <w:t xml:space="preserve"> </w:t>
      </w:r>
      <w:r>
        <w:t xml:space="preserve">For each BOM item, Quantity * Emission Factor = Total Carbon. The sum of all \'Total Carbon\' from the BOM table would contribute to this category.</w:t>
      </w:r>
    </w:p>
    <w:p>
      <w:pPr>
        <w:numPr>
          <w:ilvl w:val="1"/>
          <w:numId w:val="1012"/>
        </w:numPr>
        <w:pStyle w:val="Compact"/>
      </w:pPr>
      <w:r>
        <w:rPr>
          <w:bCs/>
          <w:b/>
        </w:rPr>
        <w:t xml:space="preserve">Category 4: Upstream Transportation and Distribution</w:t>
      </w:r>
    </w:p>
    <w:p>
      <w:pPr>
        <w:numPr>
          <w:ilvl w:val="2"/>
          <w:numId w:val="1014"/>
        </w:numPr>
        <w:pStyle w:val="Compact"/>
      </w:pPr>
      <w:r>
        <w:t xml:space="preserve">Emissions from the transportation and distribution of purchased products between a company’s tier 1 suppliers and its own operations. This includes transport of raw materials (from Europe-focused supply chain) to the China production facility.</w:t>
      </w:r>
      <w:r>
        <w:br/>
      </w:r>
      <w:r>
        <w:rPr>
          <w:iCs/>
          <w:i/>
        </w:rPr>
        <w:t xml:space="preserve">Calculation:</w:t>
      </w:r>
      <w:r>
        <w:t xml:space="preserve"> </w:t>
      </w:r>
      <w:r>
        <w:t xml:space="preserve">Mass of material * Transport Distance (e.g., zxfqsktvdo) * Emission Factor of \'Select Mode\' (e.g., 0.016 kg CO2e/tonne-km for sea freight).</w:t>
      </w:r>
    </w:p>
    <w:p>
      <w:pPr>
        <w:numPr>
          <w:ilvl w:val="1"/>
          <w:numId w:val="1012"/>
        </w:numPr>
        <w:pStyle w:val="Compact"/>
      </w:pPr>
      <w:r>
        <w:rPr>
          <w:bCs/>
          <w:b/>
        </w:rPr>
        <w:t xml:space="preserve">Category 9: Downstream Transportation and Distribution</w:t>
      </w:r>
    </w:p>
    <w:p>
      <w:pPr>
        <w:numPr>
          <w:ilvl w:val="2"/>
          <w:numId w:val="1015"/>
        </w:numPr>
        <w:pStyle w:val="Compact"/>
      </w:pPr>
      <w:r>
        <w:t xml:space="preserve">Emissions from the transportation and distribution of sold products in vehicles and facilities not owned or controlled by kdhxytysjm. This includes last-mile delivery.</w:t>
      </w:r>
      <w:r>
        <w:br/>
      </w:r>
      <w:r>
        <w:rPr>
          <w:iCs/>
          <w:i/>
        </w:rPr>
        <w:t xml:space="preserve">Calculation:</w:t>
      </w:r>
      <w:r>
        <w:t xml:space="preserve"> </w:t>
      </w:r>
      <w:r>
        <w:t xml:space="preserve">Product mass * Last-Mile Delivery Channel (Delivery Type) Distance * Emission Factor of Delivery Type.</w:t>
      </w:r>
    </w:p>
    <w:p>
      <w:pPr>
        <w:numPr>
          <w:ilvl w:val="1"/>
          <w:numId w:val="1012"/>
        </w:numPr>
        <w:pStyle w:val="Compact"/>
      </w:pPr>
      <w:r>
        <w:rPr>
          <w:bCs/>
          <w:b/>
        </w:rPr>
        <w:t xml:space="preserve">Category 11: Use of Sold Products</w:t>
      </w:r>
    </w:p>
    <w:p>
      <w:pPr>
        <w:numPr>
          <w:ilvl w:val="2"/>
          <w:numId w:val="1016"/>
        </w:numPr>
        <w:pStyle w:val="Compact"/>
      </w:pPr>
      <w:r>
        <w:t xml:space="preserve">Emissions from the use of eyoqqdwfnw by end-users.</w:t>
      </w:r>
      <w:r>
        <w:br/>
      </w:r>
      <w:r>
        <w:rPr>
          <w:iCs/>
          <w:i/>
        </w:rPr>
        <w:t xml:space="preserve">Calculation:</w:t>
      </w:r>
      <w:r>
        <w:t xml:space="preserve"> </w:t>
      </w:r>
      <w:r>
        <w:t xml:space="preserve">Product Lifespan (huhhiqogmf) * Energy Consumption in Use (snmttmwmdr) * Relevant Electricity Emission Factor. For instance, if snmttmwmdr is 5 kWh/year and huhhiqogmf is 5 years, and the user\'s grid EF is 0.3 kg CO2/kWh: 5 years * 5 kWh/year * 0.3 kg CO2/kWh = 7.5 kg CO2e/unit.</w:t>
      </w:r>
    </w:p>
    <w:p>
      <w:pPr>
        <w:numPr>
          <w:ilvl w:val="1"/>
          <w:numId w:val="1012"/>
        </w:numPr>
        <w:pStyle w:val="Compact"/>
      </w:pPr>
      <w:r>
        <w:rPr>
          <w:bCs/>
          <w:b/>
        </w:rPr>
        <w:t xml:space="preserve">Category 12: End-of-Life Treatment of Sold Products</w:t>
      </w:r>
    </w:p>
    <w:p>
      <w:pPr>
        <w:numPr>
          <w:ilvl w:val="2"/>
          <w:numId w:val="1017"/>
        </w:numPr>
        <w:pStyle w:val="Compact"/>
      </w:pPr>
      <w:r>
        <w:t xml:space="preserve">Emissions from the waste disposal and treatment of eyoqqdwfnw at the end of its life. This considers the Recyclability Percentage and Circular/Take-back Programs.</w:t>
      </w:r>
      <w:r>
        <w:br/>
      </w:r>
      <w:r>
        <w:rPr>
          <w:iCs/>
          <w:i/>
        </w:rPr>
        <w:t xml:space="preserve">Calculation:</w:t>
      </w:r>
      <w:r>
        <w:t xml:space="preserve"> </w:t>
      </w:r>
      <w:r>
        <w:t xml:space="preserve">(1 - Recyclability Percentage (oftkodgxws)/100) * Mass of product * Disposal Emission Factor (e.g., landfill or incineration). Credits are applied for recycled materials based on the \'oftkodgxws\' percentage and the existence of \'hkvhhsihtf\' programs, typically using system expansion or substitution methods. For example, recycling plastic can produce 202 kg CO2e per tonne, while landfilling produces 33 kg CO2e per tonne.</w:t>
      </w:r>
    </w:p>
    <w:bookmarkEnd w:id="33"/>
    <w:bookmarkStart w:id="34" w:name="X439aeab12f653c5be8a9767687610423a65f1bc"/>
    <w:p>
      <w:pPr>
        <w:pStyle w:val="Heading3"/>
      </w:pPr>
      <w:r>
        <w:t xml:space="preserve">2026 LSR Update: Land Sector and Removals (LSR) Standard</w:t>
      </w:r>
    </w:p>
    <w:p>
      <w:pPr>
        <w:pStyle w:val="FirstParagraph"/>
      </w:pPr>
      <w:r>
        <w:t xml:space="preserve">In line with the 2026 update, the Land Sector and Removals (LSR) Standard is applied to account for land use and carbon removals associated with eyoqqdwfnw\'s value chain. This involves assessing any land-use change impacts from raw material sourcing (e.g., bio-based materials, forestry products) and accounting for any carbon removals through direct action or supply chain interventions. While the provided parameters do not specify bio-based materials or direct land use change, the framework is in place to integrate such data if applicable.</w:t>
      </w:r>
    </w:p>
    <w:p>
      <w:r>
        <w:pict>
          <v:rect style="width:0;height:1.5pt" o:hralign="center" o:hrstd="t" o:hr="t"/>
        </w:pict>
      </w:r>
    </w:p>
    <w:bookmarkEnd w:id="34"/>
    <w:bookmarkStart w:id="35" w:name="review-report"/>
    <w:p>
      <w:pPr>
        <w:pStyle w:val="Heading2"/>
      </w:pPr>
      <w:r>
        <w:t xml:space="preserve">5. Review &amp; Report</w:t>
      </w:r>
    </w:p>
    <w:bookmarkEnd w:id="35"/>
    <w:p>
      <w:pPr>
        <w:pStyle w:val="FirstParagraph"/>
      </w:pPr>
      <w:r>
        <w:t xml:space="preserve">The final stage involves reviewing the calculated emissions, identifying hotspots, and reporting the findings.</w:t>
      </w:r>
    </w:p>
    <w:bookmarkStart w:id="36" w:name="emission-hotspots-identification"/>
    <w:p>
      <w:pPr>
        <w:pStyle w:val="Heading3"/>
      </w:pPr>
      <w:r>
        <w:t xml:space="preserve">Emission Hotspots Identification</w:t>
      </w:r>
    </w:p>
    <w:p>
      <w:pPr>
        <w:pStyle w:val="FirstParagraph"/>
      </w:pPr>
      <w:r>
        <w:t xml:space="preserve">Based on the detailed analysis, potential emission hotspots for eyoqqdwfnw would be identified across its lifecycle. Typically, these may include:</w:t>
      </w:r>
    </w:p>
    <w:p>
      <w:pPr>
        <w:numPr>
          <w:ilvl w:val="0"/>
          <w:numId w:val="1018"/>
        </w:numPr>
        <w:pStyle w:val="Compact"/>
      </w:pPr>
      <w:r>
        <w:rPr>
          <w:bCs/>
          <w:b/>
        </w:rPr>
        <w:t xml:space="preserve">Material Production:</w:t>
      </w:r>
      <w:r>
        <w:t xml:space="preserve"> </w:t>
      </w:r>
      <w:r>
        <w:t xml:space="preserve">High-impact materials within the \'vvkupmmx\' BOM, especially those with high quantity and/or high emission factors (e.g., certain plastics or metals).</w:t>
      </w:r>
    </w:p>
    <w:p>
      <w:pPr>
        <w:numPr>
          <w:ilvl w:val="0"/>
          <w:numId w:val="1018"/>
        </w:numPr>
        <w:pStyle w:val="Compact"/>
      </w:pPr>
      <w:r>
        <w:rPr>
          <w:bCs/>
          <w:b/>
        </w:rPr>
        <w:t xml:space="preserve">Production Energy:</w:t>
      </w:r>
      <w:r>
        <w:t xml:space="preserve"> </w:t>
      </w:r>
      <w:r>
        <w:t xml:space="preserve">The electricity mix in China can be carbon-intensive, making the \'vhqhujqhpj\' energy intensity a significant factor, albeit mitigated by \'lzxhpkjfff\' renewable energy usage.</w:t>
      </w:r>
    </w:p>
    <w:p>
      <w:pPr>
        <w:numPr>
          <w:ilvl w:val="0"/>
          <w:numId w:val="1018"/>
        </w:numPr>
        <w:pStyle w:val="Compact"/>
      </w:pPr>
      <w:r>
        <w:rPr>
          <w:bCs/>
          <w:b/>
        </w:rPr>
        <w:t xml:space="preserve">Transportation:</w:t>
      </w:r>
      <w:r>
        <w:t xml:space="preserve"> </w:t>
      </w:r>
      <w:r>
        <w:t xml:space="preserve">Long-distance transport for materials or finished products, especially if \'Select Mode\' involves air freight, due to its high emission factors.</w:t>
      </w:r>
    </w:p>
    <w:p>
      <w:pPr>
        <w:numPr>
          <w:ilvl w:val="0"/>
          <w:numId w:val="1018"/>
        </w:numPr>
        <w:pStyle w:val="Compact"/>
      </w:pPr>
      <w:r>
        <w:rPr>
          <w:bCs/>
          <w:b/>
        </w:rPr>
        <w:t xml:space="preserve">Use Phase:</w:t>
      </w:r>
      <w:r>
        <w:t xml:space="preserve"> </w:t>
      </w:r>
      <w:r>
        <w:t xml:space="preserve">If \'snmttmwmdr\' (Energy Consumption in Use) is high over the \'huhhiqogmf\' (Product Lifespan), the use phase can contribute substantially.</w:t>
      </w:r>
    </w:p>
    <w:p>
      <w:pPr>
        <w:numPr>
          <w:ilvl w:val="0"/>
          <w:numId w:val="1018"/>
        </w:numPr>
        <w:pStyle w:val="Compact"/>
      </w:pPr>
      <w:r>
        <w:rPr>
          <w:bCs/>
          <w:b/>
        </w:rPr>
        <w:t xml:space="preserve">End-of-Life:</w:t>
      </w:r>
      <w:r>
        <w:t xml:space="preserve"> </w:t>
      </w:r>
      <w:r>
        <w:t xml:space="preserve">Low \'oftkodgxws\' (Recyclability Percentage) or absence of robust \'hkvhhsihtf\' (Circular/Take-back Programs) can lead to higher end-of-life emissions.</w:t>
      </w:r>
    </w:p>
    <w:bookmarkEnd w:id="36"/>
    <w:bookmarkStart w:id="39"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While industry-standard emission factors (e.g., from Ecoinvent/DEFRA) are used where specific data is unavailable, primary data from kdhxytysjm\'s operations and supply chain are prioritized. The use of placeholder values in this illustrative report necessitates acknowledging that actual numerical results would depend on precise quantitative inputs. Continuous data collection and refinement are recommended for enhancing the accuracy of future assessments.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7" w:name="pageNumber"/>
      <w:r>
        <w:t xml:space="preserve">1</w:t>
      </w:r>
      <w:bookmarkEnd w:id="37"/>
      <w:r>
        <w:t xml:space="preserve"> </w:t>
      </w:r>
      <w:r>
        <w:t xml:space="preserve">of</w:t>
      </w:r>
      <w:r>
        <w:t xml:space="preserve"> </w:t>
      </w:r>
      <w:bookmarkStart w:id="38" w:name="totalPages"/>
      <w:r>
        <w:t xml:space="preserve">1</w:t>
      </w:r>
      <w:bookmarkEnd w:id="38"/>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eyoqqdwfnw</dc:title>
  <dc:creator/>
  <dc:description>Detailed Product Carbon Footprint (PCF) analysis report for eyoqqdwfnw by Senior Sustainability Consultant idrjwortzm for kdhxytysjm, adhering to GHG Protocol standards and 2026 LSR Update for comprehensive emissions reporting.</dc:description>
  <dc:language>en</dc:language>
  <cp:keywords/>
  <dcterms:created xsi:type="dcterms:W3CDTF">2026-07-15T09:19:26Z</dcterms:created>
  <dcterms:modified xsi:type="dcterms:W3CDTF">2026-07-15T09:19:26Z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