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eyepovmrgv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eyepovmrgv</w:t>
      </w:r>
    </w:p>
    <w:p>
      <w:pPr>
        <w:pStyle w:val="BodyText"/>
      </w:pPr>
      <w:r>
        <w:rPr>
          <w:bCs/>
          <w:b/>
        </w:rPr>
        <w:t xml:space="preserve">Company:</w:t>
      </w:r>
      <w:r>
        <w:t xml:space="preserve"> </w:t>
      </w:r>
      <w:r>
        <w:t xml:space="preserve">ldruwoufev</w:t>
      </w:r>
    </w:p>
    <w:p>
      <w:pPr>
        <w:pStyle w:val="BodyText"/>
      </w:pPr>
      <w:r>
        <w:rPr>
          <w:bCs/>
          <w:b/>
        </w:rPr>
        <w:t xml:space="preserve">Senior Sustainability Consultant:</w:t>
      </w:r>
      <w:r>
        <w:t xml:space="preserve"> </w:t>
      </w:r>
      <w:r>
        <w:t xml:space="preserve">oufhztudqt</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depending on real-world conditions and further detailed data collection.</w:t>
      </w:r>
    </w:p>
    <w:bookmarkEnd w:id="20"/>
    <w:bookmarkStart w:id="48" w:name="X5e94050d8bae016b874032b4e1cc71bf3fff5e8"/>
    <w:p>
      <w:pPr>
        <w:pStyle w:val="Heading1"/>
      </w:pPr>
      <w:r>
        <w:t xml:space="preserve">Product Carbon Footprint Analysis for eyepovmrgv</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eyepovmrgv</w:t>
      </w:r>
      <w:r>
        <w:t xml:space="preserve">, manufactured by</w:t>
      </w:r>
      <w:r>
        <w:t xml:space="preserve"> </w:t>
      </w:r>
      <w:r>
        <w:t xml:space="preserve">ldruwoufev</w:t>
      </w:r>
      <w:r>
        <w:t xml:space="preserve">. The assessment was conducted by</w:t>
      </w:r>
      <w:r>
        <w:t xml:space="preserve"> </w:t>
      </w:r>
      <w:r>
        <w:t xml:space="preserve">oufhztudqt</w:t>
      </w:r>
      <w:r>
        <w:t xml:space="preserve">, Senior Sustainability Consultant, adhering strictly to the</w:t>
      </w:r>
      <w:r>
        <w:t xml:space="preserve"> </w:t>
      </w:r>
      <w:r>
        <w:t xml:space="preserve">GHG Protocol</w:t>
      </w:r>
      <w:r>
        <w:t xml:space="preserve"> </w:t>
      </w:r>
      <w:r>
        <w:t xml:space="preserve">standards, including considerations from the 2026 Land Sector and Removals (LSR) Standard. The analysis employs a cradle-to-gate system boundary, with insights into downstream impacts, providing a comprehensive understanding of the product\'s environmental performance. Key emission hotspots have been identified across materials, production, transport, use, and end-of-life phases, enabling targeted decarbonization strategies.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(PCF) analysis of</w:t>
      </w:r>
      <w:r>
        <w:t xml:space="preserve"> </w:t>
      </w:r>
      <w:r>
        <w:t xml:space="preserve">eyepovmrgv</w:t>
      </w:r>
      <w:r>
        <w:t xml:space="preserve">.</w:t>
      </w:r>
    </w:p>
    <w:p>
      <w:pPr>
        <w:numPr>
          <w:ilvl w:val="0"/>
          <w:numId w:val="1001"/>
        </w:numPr>
        <w:pStyle w:val="Compact"/>
      </w:pPr>
      <w:r>
        <w:rPr>
          <w:bCs/>
          <w:b/>
        </w:rPr>
        <w:t xml:space="preserve">Functional Unit:</w:t>
      </w:r>
      <w:r>
        <w:t xml:space="preserve"> </w:t>
      </w:r>
      <w:r>
        <w:t xml:space="preserve">The functional unit for this analysis is</w:t>
      </w:r>
      <w:r>
        <w:t xml:space="preserve"> </w:t>
      </w:r>
      <w:r>
        <w:t xml:space="preserve">1.0 unit</w:t>
      </w:r>
      <w:r>
        <w:t xml:space="preserve"> </w:t>
      </w:r>
      <w:r>
        <w:t xml:space="preserve">of</w:t>
      </w:r>
      <w:r>
        <w:t xml:space="preserve"> </w:t>
      </w:r>
      <w:r>
        <w:t xml:space="preserve">eyepovmrgv</w:t>
      </w:r>
      <w:r>
        <w:t xml:space="preserve">. This serves as the reference basis for quantifying all relevant inputs and outputs.</w:t>
      </w:r>
    </w:p>
    <w:p>
      <w:pPr>
        <w:numPr>
          <w:ilvl w:val="0"/>
          <w:numId w:val="1001"/>
        </w:numPr>
        <w:pStyle w:val="Compact"/>
      </w:pPr>
      <w:r>
        <w:rPr>
          <w:bCs/>
          <w:b/>
        </w:rPr>
        <w:t xml:space="preserve">System Boundary:</w:t>
      </w:r>
      <w:r>
        <w:t xml:space="preserve"> </w:t>
      </w:r>
      <w:r>
        <w:t xml:space="preserve">The primary system boundary for this PCF is</w:t>
      </w:r>
      <w:r>
        <w:t xml:space="preserve"> </w:t>
      </w:r>
      <w:r>
        <w:t xml:space="preserve">factory_gate</w:t>
      </w:r>
      <w:r>
        <w:t xml:space="preserve"> </w:t>
      </w:r>
      <w:r>
        <w:t xml:space="preserve">(cradle-to-gate). This includes raw material acquisition, material processing, manufacturing, and transport to the factory gate. Downstream impacts (use phase and end-of-life) are also analyzed to provide a holistic view as per requirements, reported under Scope 3.</w:t>
      </w:r>
    </w:p>
    <w:p>
      <w:pPr>
        <w:numPr>
          <w:ilvl w:val="0"/>
          <w:numId w:val="1001"/>
        </w:numPr>
        <w:pStyle w:val="Compact"/>
      </w:pPr>
      <w:r>
        <w:rPr>
          <w:bCs/>
          <w:b/>
        </w:rPr>
        <w:t xml:space="preserve">Geographic Scope:</w:t>
      </w:r>
      <w:r>
        <w:t xml:space="preserve"> </w:t>
      </w:r>
      <w:r>
        <w:t xml:space="preserve">The final production country is</w:t>
      </w:r>
      <w:r>
        <w:t xml:space="preserve"> </w:t>
      </w:r>
      <w:r>
        <w:t xml:space="preserve">China</w:t>
      </w:r>
      <w:r>
        <w:t xml:space="preserve">. The supply chain focus is primarily</w:t>
      </w:r>
      <w:r>
        <w:t xml:space="preserve"> </w:t>
      </w:r>
      <w:r>
        <w:t xml:space="preserve">Europe Focused</w:t>
      </w:r>
      <w:r>
        <w:t xml:space="preserve"> </w:t>
      </w:r>
      <w:r>
        <w:t xml:space="preserve">for upstream logistics and material sourcing.</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t xml:space="preserve">GHG Protocol</w:t>
      </w:r>
      <w:r>
        <w:t xml:space="preserve"> </w:t>
      </w:r>
      <w:r>
        <w:t xml:space="preserve">(A Corporate Accounting and Reporting Standard).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Allocation:</w:t>
      </w:r>
      <w:r>
        <w:t xml:space="preserve"> </w:t>
      </w:r>
      <w:r>
        <w:t xml:space="preserve">Where multi-product systems or shared processes are involved, emissions have been allocated based on commonly accepted principles, such as mass or economic value, to ensure fair distribution of environmental burden to the functional unit.</w:t>
      </w:r>
    </w:p>
    <w:p>
      <w:r>
        <w:pict>
          <v:rect style="width:0;height:1.5pt" o:hralign="center" o:hrstd="t" o:hr="t"/>
        </w:pict>
      </w:r>
    </w:p>
    <w:bookmarkEnd w:id="22"/>
    <w:bookmarkStart w:id="28" w:name="lifecycle-mapping-3.-data-collection"/>
    <w:p>
      <w:pPr>
        <w:pStyle w:val="Heading2"/>
      </w:pPr>
      <w:r>
        <w:t xml:space="preserve">2. Lifecycle Mapping &amp; 3. Data Collection</w:t>
      </w:r>
    </w:p>
    <w:p>
      <w:pPr>
        <w:pStyle w:val="FirstParagraph"/>
      </w:pPr>
      <w:r>
        <w:t xml:space="preserve">This section details the lifecycle stages considered and the primary and secondary data points collected for the PCF calculation of</w:t>
      </w:r>
      <w:r>
        <w:t xml:space="preserve"> </w:t>
      </w:r>
      <w:r>
        <w:t xml:space="preserve">eyepovmrgv</w:t>
      </w:r>
      <w:r>
        <w:t xml:space="preserve">. Industry-standard emission factors, such as those from Ecoinvent and DEFRA databases, are utilized where primary data is unavailable.</w:t>
      </w:r>
    </w:p>
    <w:bookmarkStart w:id="23" w:name="X1428ec1d1885feb992205144a5c6ed055eb01cb"/>
    <w:p>
      <w:pPr>
        <w:pStyle w:val="Heading3"/>
      </w:pPr>
      <w:r>
        <w:t xml:space="preserve">2.1. Material Inputs (Detailed Bill of Materials - BOM)</w:t>
      </w:r>
    </w:p>
    <w:p>
      <w:pPr>
        <w:pStyle w:val="FirstParagraph"/>
      </w:pPr>
      <w:r>
        <w:t xml:space="preserve">The following Bill of Materials (</w:t>
      </w:r>
      <w:r>
        <w:t xml:space="preserve">fjiyfqlv</w:t>
      </w:r>
      <w:r>
        <w:t xml:space="preserve">) provides a high-accuracy basis for calculating material-related emissions. The "Total Carbon" value provided for each item directly contributes to the upstream Scope 3 emissions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bl>
    <w:p>
      <w:pPr>
        <w:pStyle w:val="BodyText"/>
      </w:pPr>
      <w:r>
        <w:t xml:space="preserve">For this report, the sum of "Total Carbon (kg CO2e)" for each material item is taken as the direct material impact.</w:t>
      </w:r>
    </w:p>
    <w:bookmarkEnd w:id="23"/>
    <w:bookmarkStart w:id="24" w:name="production-energy-inputs"/>
    <w:p>
      <w:pPr>
        <w:pStyle w:val="Heading3"/>
      </w:pPr>
      <w:r>
        <w:t xml:space="preserve">2.2. Production Energy Inputs</w:t>
      </w:r>
    </w:p>
    <w:p>
      <w:pPr>
        <w:numPr>
          <w:ilvl w:val="0"/>
          <w:numId w:val="1002"/>
        </w:numPr>
        <w:pStyle w:val="Compact"/>
      </w:pPr>
      <w:r>
        <w:rPr>
          <w:bCs/>
          <w:b/>
        </w:rPr>
        <w:t xml:space="preserve">Renewable Energy Usage:</w:t>
      </w:r>
      <w:r>
        <w:t xml:space="preserve"> </w:t>
      </w:r>
      <w:r>
        <w:t xml:space="preserve">fkmvshvmxe</w:t>
      </w:r>
      <w:r>
        <w:t xml:space="preserve">. This percentage represents the portion of electricity purchased or generated from renewable sources.</w:t>
      </w:r>
    </w:p>
    <w:p>
      <w:pPr>
        <w:numPr>
          <w:ilvl w:val="0"/>
          <w:numId w:val="1002"/>
        </w:numPr>
        <w:pStyle w:val="Compact"/>
      </w:pPr>
      <w:r>
        <w:rPr>
          <w:bCs/>
          <w:b/>
        </w:rPr>
        <w:t xml:space="preserve">Energy Intensity (kWh/unit):</w:t>
      </w:r>
      <w:r>
        <w:t xml:space="preserve"> </w:t>
      </w:r>
      <w:r>
        <w:t xml:space="preserve">qsxynrzwds</w:t>
      </w:r>
      <w:r>
        <w:t xml:space="preserve">. This is the total electricity consumed per functional unit of</w:t>
      </w:r>
      <w:r>
        <w:t xml:space="preserve"> </w:t>
      </w:r>
      <w:r>
        <w:t xml:space="preserve">eyepovmrgv</w:t>
      </w:r>
      <w:r>
        <w:t xml:space="preserve"> </w:t>
      </w:r>
      <w:r>
        <w:t xml:space="preserve">during the production phase.</w:t>
      </w:r>
    </w:p>
    <w:p>
      <w:pPr>
        <w:numPr>
          <w:ilvl w:val="0"/>
          <w:numId w:val="1002"/>
        </w:numPr>
        <w:pStyle w:val="Compact"/>
      </w:pPr>
      <w:r>
        <w:rPr>
          <w:bCs/>
          <w:b/>
        </w:rPr>
        <w:t xml:space="preserve">Location Specifics:</w:t>
      </w:r>
      <w:r>
        <w:t xml:space="preserve"> </w:t>
      </w:r>
      <w:r>
        <w:t xml:space="preserve">The final production country is China. For non-renewable electricity consumption, the national average grid emission factor for China will be applied for Scope 2 calculations, which is 0.6205 kg CO2e/kWh (2023 national average).</w:t>
      </w:r>
    </w:p>
    <w:bookmarkEnd w:id="24"/>
    <w:bookmarkStart w:id="25" w:name="logistics-data"/>
    <w:p>
      <w:pPr>
        <w:pStyle w:val="Heading3"/>
      </w:pPr>
      <w:r>
        <w:t xml:space="preserve">2.3. Logistics Data</w:t>
      </w:r>
    </w:p>
    <w:p>
      <w:pPr>
        <w:numPr>
          <w:ilvl w:val="0"/>
          <w:numId w:val="1003"/>
        </w:numPr>
        <w:pStyle w:val="Compact"/>
      </w:pPr>
      <w:r>
        <w:rPr>
          <w:bCs/>
          <w:b/>
        </w:rPr>
        <w:t xml:space="preserve">Upstream Transport Mode:</w:t>
      </w:r>
      <w:r>
        <w:t xml:space="preserve"> </w:t>
      </w:r>
      <w:r>
        <w:t xml:space="preserve">Select Mode</w:t>
      </w:r>
      <w:r>
        <w:t xml:space="preserve">. This refers to the primary mode of transport for raw materials and components to the production facility. For calculation, road freight (heavy truck) is assumed, with an emission factor of 0.150 kg CO2e/tkm.</w:t>
      </w:r>
    </w:p>
    <w:p>
      <w:pPr>
        <w:numPr>
          <w:ilvl w:val="0"/>
          <w:numId w:val="1003"/>
        </w:numPr>
        <w:pStyle w:val="Compact"/>
      </w:pPr>
      <w:r>
        <w:rPr>
          <w:bCs/>
          <w:b/>
        </w:rPr>
        <w:t xml:space="preserve">Transport Distance:</w:t>
      </w:r>
      <w:r>
        <w:t xml:space="preserve"> </w:t>
      </w:r>
      <w:r>
        <w:t xml:space="preserve">isoqtdwpid</w:t>
      </w:r>
      <w:r>
        <w:t xml:space="preserve">. This is the average distance covered for material transportation (assumed in kilometers for this analysis).</w:t>
      </w:r>
    </w:p>
    <w:p>
      <w:pPr>
        <w:numPr>
          <w:ilvl w:val="0"/>
          <w:numId w:val="1003"/>
        </w:numPr>
        <w:pStyle w:val="Compact"/>
      </w:pPr>
      <w:r>
        <w:rPr>
          <w:bCs/>
          <w:b/>
        </w:rPr>
        <w:t xml:space="preserve">Last-Mile Delivery Channel:</w:t>
      </w:r>
      <w:r>
        <w:t xml:space="preserve"> </w:t>
      </w:r>
      <w:r>
        <w:t xml:space="preserve">Delivery Type</w:t>
      </w:r>
      <w:r>
        <w:t xml:space="preserve">. This specifies the method for product delivery to the end-consumer. For calculation, a light commercial vehicle is assumed, with an emission factor of 0.15 kg CO2e/km.</w:t>
      </w:r>
    </w:p>
    <w:p>
      <w:pPr>
        <w:numPr>
          <w:ilvl w:val="0"/>
          <w:numId w:val="1003"/>
        </w:numPr>
        <w:pStyle w:val="Compact"/>
      </w:pPr>
      <w:r>
        <w:rPr>
          <w:bCs/>
          <w:b/>
        </w:rPr>
        <w:t xml:space="preserve">Supply Chain Focus:</w:t>
      </w:r>
      <w:r>
        <w:t xml:space="preserve"> </w:t>
      </w:r>
      <w:r>
        <w:t xml:space="preserve">Europe Focused.</w:t>
      </w:r>
    </w:p>
    <w:bookmarkEnd w:id="25"/>
    <w:bookmarkStart w:id="26" w:name="use-phase-data"/>
    <w:p>
      <w:pPr>
        <w:pStyle w:val="Heading3"/>
      </w:pPr>
      <w:r>
        <w:t xml:space="preserve">2.4. Use Phase Data</w:t>
      </w:r>
    </w:p>
    <w:p>
      <w:pPr>
        <w:pStyle w:val="FirstParagraph"/>
      </w:pPr>
      <w:r>
        <w:t xml:space="preserve">Although the primary boundary is factory-gate, the use phase is analyzed to provide a more complete picture of the product\'s lifecycle impact (Scope 3, Category 11: Use of sold products).</w:t>
      </w:r>
    </w:p>
    <w:p>
      <w:pPr>
        <w:numPr>
          <w:ilvl w:val="0"/>
          <w:numId w:val="1004"/>
        </w:numPr>
        <w:pStyle w:val="Compact"/>
      </w:pPr>
      <w:r>
        <w:rPr>
          <w:bCs/>
          <w:b/>
        </w:rPr>
        <w:t xml:space="preserve">Product Lifespan:</w:t>
      </w:r>
      <w:r>
        <w:t xml:space="preserve"> </w:t>
      </w:r>
      <w:r>
        <w:t xml:space="preserve">yjvvgnents</w:t>
      </w:r>
      <w:r>
        <w:t xml:space="preserve"> </w:t>
      </w:r>
      <w:r>
        <w:t xml:space="preserve">(assumed in years for this analysis).</w:t>
      </w:r>
    </w:p>
    <w:p>
      <w:pPr>
        <w:numPr>
          <w:ilvl w:val="0"/>
          <w:numId w:val="1004"/>
        </w:numPr>
        <w:pStyle w:val="Compact"/>
      </w:pPr>
      <w:r>
        <w:rPr>
          <w:bCs/>
          <w:b/>
        </w:rPr>
        <w:t xml:space="preserve">Energy Consumption in Use:</w:t>
      </w:r>
      <w:r>
        <w:t xml:space="preserve"> </w:t>
      </w:r>
      <w:r>
        <w:t xml:space="preserve">uxjmrhyowo</w:t>
      </w:r>
      <w:r>
        <w:t xml:space="preserve"> </w:t>
      </w:r>
      <w:r>
        <w:t xml:space="preserve">(assumed in kWh/year for this analysis). This represents the energy consumed by the product during its operational lifetime. For calculation, a generic electricity grid emission factor of 0.4 kg CO2e/kWh is used for the end-user.</w:t>
      </w:r>
    </w:p>
    <w:bookmarkEnd w:id="26"/>
    <w:bookmarkStart w:id="27" w:name="end-of-life-eol-scenarios"/>
    <w:p>
      <w:pPr>
        <w:pStyle w:val="Heading3"/>
      </w:pPr>
      <w:r>
        <w:t xml:space="preserve">2.5. End-of-Life (EoL) Scenarios</w:t>
      </w:r>
    </w:p>
    <w:p>
      <w:pPr>
        <w:pStyle w:val="FirstParagraph"/>
      </w:pPr>
      <w:r>
        <w:t xml:space="preserve">EoL scenarios are incorporated to reflect circular economy impacts (Scope 3, Category 12: End-of-life treatment of sold products).</w:t>
      </w:r>
    </w:p>
    <w:p>
      <w:pPr>
        <w:numPr>
          <w:ilvl w:val="0"/>
          <w:numId w:val="1005"/>
        </w:numPr>
        <w:pStyle w:val="Compact"/>
      </w:pPr>
      <w:r>
        <w:rPr>
          <w:bCs/>
          <w:b/>
        </w:rPr>
        <w:t xml:space="preserve">Recyclability Percentage:</w:t>
      </w:r>
      <w:r>
        <w:t xml:space="preserve"> </w:t>
      </w:r>
      <w:r>
        <w:t xml:space="preserve">uyqdjpzilo</w:t>
      </w:r>
      <w:r>
        <w:t xml:space="preserve">. This indicates the percentage of the product that can be recycled. For plastic, a recycling benefit of -1.08 kg CO2e/kg is used.</w:t>
      </w:r>
    </w:p>
    <w:p>
      <w:pPr>
        <w:numPr>
          <w:ilvl w:val="0"/>
          <w:numId w:val="1005"/>
        </w:numPr>
        <w:pStyle w:val="Compact"/>
      </w:pPr>
      <w:r>
        <w:rPr>
          <w:bCs/>
          <w:b/>
        </w:rPr>
        <w:t xml:space="preserve">Circular/Take-back Programs:</w:t>
      </w:r>
      <w:r>
        <w:t xml:space="preserve"> </w:t>
      </w:r>
      <w:r>
        <w:t xml:space="preserve">dyktywhqjq</w:t>
      </w:r>
      <w:r>
        <w:t xml:space="preserve">. The presence of such programs can significantly reduce waste and promote resource efficiency, impacting the net EoL emissions. For non-recycled plastic waste, an incineration emission factor of 2.76 kg CO2e/kg is used.</w:t>
      </w:r>
    </w:p>
    <w:p>
      <w:r>
        <w:pict>
          <v:rect style="width:0;height:1.5pt" o:hralign="center" o:hrstd="t" o:hr="t"/>
        </w:pict>
      </w:r>
    </w:p>
    <w:bookmarkEnd w:id="27"/>
    <w:bookmarkEnd w:id="28"/>
    <w:bookmarkStart w:id="44" w:name="X2a8c3fbbbacff85838ca35d2438945fec0415e4"/>
    <w:p>
      <w:pPr>
        <w:pStyle w:val="Heading2"/>
      </w:pPr>
      <w:r>
        <w:t xml:space="preserve">4. Emission Calculation and Categorization (GHG Protocol)</w:t>
      </w:r>
    </w:p>
    <w:p>
      <w:pPr>
        <w:pStyle w:val="FirstParagraph"/>
      </w:pPr>
      <w:r>
        <w:t xml:space="preserve">Emissions are calculated by multiplying activity data by relevant emission factors. Categorization strictly follows the GHG Protocol\'s Scope 1, Scope 2, and Scope 3 framework. The 2026 Land Sector and Removals (LSR) Standard is acknowledged, and where applicable, land use change emissions and carbon removals are integrated into relevant emission factors (e.g., bio-based materials).</w:t>
      </w:r>
    </w:p>
    <w:p>
      <w:pPr>
        <w:pStyle w:val="BodyText"/>
      </w:pPr>
      <w:r>
        <w:rPr>
          <w:bCs/>
          <w:b/>
        </w:rPr>
        <w:t xml:space="preserve">Note on 2026 Scope 3 Compliance:</w:t>
      </w:r>
      <w:r>
        <w:t xml:space="preserve"> </w:t>
      </w:r>
      <w:r>
        <w:t xml:space="preserve">This analysis aims for at least 95% coverage for Scope 3 reporting, encompassing all significant upstream and downstream value chain emissions relevant to the product lifecycle.</w:t>
      </w:r>
    </w:p>
    <w:bookmarkStart w:id="29" w:name="scope-1-direct-emissions"/>
    <w:p>
      <w:pPr>
        <w:pStyle w:val="Heading3"/>
      </w:pPr>
      <w:r>
        <w:t xml:space="preserve">4.1. Scope 1: Direct Emissions</w:t>
      </w:r>
    </w:p>
    <w:p>
      <w:pPr>
        <w:pStyle w:val="FirstParagraph"/>
      </w:pPr>
      <w:r>
        <w:t xml:space="preserve">For a product-level PCF with a factory-gate boundary, direct emissions typically include on-site fuel combustion for manufacturing processes or facility heating/cooling. As no specific direct fuel consumption data for</w:t>
      </w:r>
      <w:r>
        <w:t xml:space="preserve"> </w:t>
      </w:r>
      <w:r>
        <w:t xml:space="preserve">ldruwoufev</w:t>
      </w:r>
      <w:r>
        <w:t xml:space="preserve">\'s production of</w:t>
      </w:r>
      <w:r>
        <w:t xml:space="preserve"> </w:t>
      </w:r>
      <w:r>
        <w:t xml:space="preserve">eyepovmrgv</w:t>
      </w:r>
      <w:r>
        <w:t xml:space="preserve"> </w:t>
      </w:r>
      <w:r>
        <w:t xml:space="preserve">was provided, it is assumed to be either negligible or implicitly covered within material/energy upstream emission factors for primary production processes not directly controlled by</w:t>
      </w:r>
      <w:r>
        <w:t xml:space="preserve"> </w:t>
      </w:r>
      <w:r>
        <w:t xml:space="preserve">ldruwoufev</w:t>
      </w:r>
      <w:r>
        <w:t xml:space="preserve">. If any direct operational emissions occurred at the factory (e.g., from company-owned vehicles or stationary combustion), they would be allocated here.</w:t>
      </w:r>
    </w:p>
    <w:p>
      <w:pPr>
        <w:numPr>
          <w:ilvl w:val="0"/>
          <w:numId w:val="1006"/>
        </w:numPr>
        <w:pStyle w:val="Compact"/>
      </w:pPr>
      <w:r>
        <w:rPr>
          <w:bCs/>
          <w:b/>
        </w:rPr>
        <w:t xml:space="preserve">Calculated Scope 1 Emissions:</w:t>
      </w:r>
      <w:r>
        <w:t xml:space="preserve"> </w:t>
      </w:r>
      <w:r>
        <w:t xml:space="preserve">0.00 kg CO2e (Assumed negligible/not specified for direct operational control at product level).</w:t>
      </w:r>
    </w:p>
    <w:bookmarkEnd w:id="29"/>
    <w:bookmarkStart w:id="31" w:name="Xe578209a49eabfde2edaf977ad2b592c314c527"/>
    <w:p>
      <w:pPr>
        <w:pStyle w:val="Heading3"/>
      </w:pPr>
      <w:r>
        <w:t xml:space="preserve">4.2. Scope 2: Energy Indirect Emissions (Purchased Electricity)</w:t>
      </w:r>
    </w:p>
    <w:p>
      <w:pPr>
        <w:pStyle w:val="FirstParagraph"/>
      </w:pPr>
      <w:r>
        <w:t xml:space="preserve">These emissions arise from the generation of purchased electricity consumed during the manufacturing process.</w:t>
      </w:r>
    </w:p>
    <w:p>
      <w:pPr>
        <w:numPr>
          <w:ilvl w:val="0"/>
          <w:numId w:val="1007"/>
        </w:numPr>
        <w:pStyle w:val="Compact"/>
      </w:pPr>
      <w:r>
        <w:t xml:space="preserve">Total Energy Intensity:</w:t>
      </w:r>
      <w:r>
        <w:t xml:space="preserve"> </w:t>
      </w:r>
      <w:r>
        <w:t xml:space="preserve">qsxynrzwds</w:t>
      </w:r>
      <w:r>
        <w:t xml:space="preserve"> </w:t>
      </w:r>
      <w:r>
        <w:t xml:space="preserve">kWh/unit</w:t>
      </w:r>
    </w:p>
    <w:p>
      <w:pPr>
        <w:numPr>
          <w:ilvl w:val="0"/>
          <w:numId w:val="1007"/>
        </w:numPr>
        <w:pStyle w:val="Compact"/>
      </w:pPr>
      <w:r>
        <w:t xml:space="preserve">Renewable Energy Usage:</w:t>
      </w:r>
      <w:r>
        <w:t xml:space="preserve"> </w:t>
      </w:r>
      <w:r>
        <w:t xml:space="preserve">fkmvshvmxe</w:t>
      </w:r>
    </w:p>
    <w:p>
      <w:pPr>
        <w:numPr>
          <w:ilvl w:val="0"/>
          <w:numId w:val="1007"/>
        </w:numPr>
        <w:pStyle w:val="Compact"/>
      </w:pPr>
      <w:r>
        <w:t xml:space="preserve">Non-Renewable Energy Usage: (100% -</w:t>
      </w:r>
      <w:r>
        <w:t xml:space="preserve"> </w:t>
      </w:r>
      <w:r>
        <w:t xml:space="preserve">fkmvshvmxe</w:t>
      </w:r>
      <w:r>
        <w:t xml:space="preserve">)</w:t>
      </w:r>
    </w:p>
    <w:p>
      <w:pPr>
        <w:pStyle w:val="FirstParagraph"/>
      </w:pPr>
      <w:r>
        <w:t xml:space="preserve">Calculated Scope 2 Emissions for production in China using 2023 national average grid emission factor (0.6205 kg CO2e/kWh):</w:t>
      </w:r>
    </w:p>
    <w:p>
      <w:pPr>
        <w:pStyle w:val="BodyText"/>
      </w:pPr>
      <w:r>
        <w:t xml:space="preserve">Calculated Scope 2 Emissions:</w:t>
      </w:r>
      <w:r>
        <w:t xml:space="preserve"> </w:t>
      </w:r>
      <w:bookmarkStart w:id="30" w:name="scope2_calc"/>
      <w:r>
        <w:t xml:space="preserve">0.00</w:t>
      </w:r>
      <w:bookmarkEnd w:id="30"/>
      <w:r>
        <w:t xml:space="preserve"> </w:t>
      </w:r>
      <w:r>
        <w:t xml:space="preserve">kg CO2e/unit</w:t>
      </w:r>
    </w:p>
    <w:bookmarkEnd w:id="31"/>
    <w:bookmarkStart w:id="41" w:name="Xd1c2b652bc5876514f180a21f002993b8de8e83"/>
    <w:p>
      <w:pPr>
        <w:pStyle w:val="Heading3"/>
      </w:pPr>
      <w:r>
        <w:t xml:space="preserve">4.3. Scope 3: Other Indirect Emissions (Value Chain)</w:t>
      </w:r>
    </w:p>
    <w:p>
      <w:pPr>
        <w:pStyle w:val="FirstParagraph"/>
      </w:pPr>
      <w:r>
        <w:t xml:space="preserve">This category typically constitutes the largest portion of a product\'s carbon footprint and includes emissions from raw material extraction, production, transport, use, and end-of-life.</w:t>
      </w:r>
    </w:p>
    <w:bookmarkStart w:id="33" w:name="Xdaeb1168caf279b9538a8f6cdf58c92823df5b1"/>
    <w:p>
      <w:pPr>
        <w:pStyle w:val="Heading4"/>
      </w:pPr>
      <w:r>
        <w:t xml:space="preserve">4.3.1. Upstream Emissions (Category 1: Purchased goods and services, Category 4: Transportation and distribution)</w:t>
      </w:r>
    </w:p>
    <w:p>
      <w:pPr>
        <w:pStyle w:val="FirstParagraph"/>
      </w:pPr>
      <w:r>
        <w:t xml:space="preserve">This includes emissions from the extraction, production, and upstream transportation of raw materials and components as detailed in the BOM.</w:t>
      </w:r>
    </w:p>
    <w:p>
      <w:pPr>
        <w:numPr>
          <w:ilvl w:val="0"/>
          <w:numId w:val="1008"/>
        </w:numPr>
        <w:pStyle w:val="Compact"/>
      </w:pPr>
      <w:r>
        <w:rPr>
          <w:bCs/>
          <w:b/>
        </w:rPr>
        <w:t xml:space="preserve">Material Production Emissions:</w:t>
      </w:r>
      <w:r>
        <w:t xml:space="preserve"> </w:t>
      </w:r>
      <w:r>
        <w:t xml:space="preserve">Sum of "Total Carbon (kg CO2e)" from the Detailed Bill of Materials (</w:t>
      </w:r>
      <w:r>
        <w:t xml:space="preserve">fjiyfqlv</w:t>
      </w:r>
      <w:r>
        <w:t xml:space="preserve">).</w:t>
      </w:r>
    </w:p>
    <w:p>
      <w:pPr>
        <w:numPr>
          <w:ilvl w:val="0"/>
          <w:numId w:val="1008"/>
        </w:numPr>
        <w:pStyle w:val="Compact"/>
      </w:pPr>
      <w:r>
        <w:rPr>
          <w:bCs/>
          <w:b/>
        </w:rPr>
        <w:t xml:space="preserve">Upstream Transport Emissions:</w:t>
      </w:r>
      <w:r>
        <w:t xml:space="preserve"> </w:t>
      </w:r>
      <w:r>
        <w:t xml:space="preserve">Based on</w:t>
      </w:r>
      <w:r>
        <w:t xml:space="preserve"> </w:t>
      </w:r>
      <w:r>
        <w:t xml:space="preserve">Select Mode</w:t>
      </w:r>
      <w:r>
        <w:t xml:space="preserve"> </w:t>
      </w:r>
      <w:r>
        <w:t xml:space="preserve">and</w:t>
      </w:r>
      <w:r>
        <w:t xml:space="preserve"> </w:t>
      </w:r>
      <w:r>
        <w:t xml:space="preserve">isoqtdwpid</w:t>
      </w:r>
      <w:r>
        <w:t xml:space="preserve">. Assuming road freight (heavy truck) with an emission factor of 0.150 kg CO2e/tkm.</w:t>
      </w:r>
    </w:p>
    <w:p>
      <w:pPr>
        <w:pStyle w:val="FirstParagraph"/>
      </w:pPr>
      <w:r>
        <w:t xml:space="preserve">Calculated Scope 3 Upstream (Materials &amp; Transport) Emissions:</w:t>
      </w:r>
      <w:r>
        <w:t xml:space="preserve"> </w:t>
      </w:r>
      <w:bookmarkStart w:id="32" w:name="scope3_upstream_calc"/>
      <w:r>
        <w:t xml:space="preserve">0.00</w:t>
      </w:r>
      <w:bookmarkEnd w:id="32"/>
      <w:r>
        <w:t xml:space="preserve"> </w:t>
      </w:r>
      <w:r>
        <w:t xml:space="preserve">kg CO2e/unit</w:t>
      </w:r>
    </w:p>
    <w:bookmarkEnd w:id="33"/>
    <w:bookmarkStart w:id="40" w:name="X2c14542a4070344eaf417bf97b7e385350f3115"/>
    <w:p>
      <w:pPr>
        <w:pStyle w:val="Heading4"/>
      </w:pPr>
      <w:r>
        <w:t xml:space="preserve">4.3.2. Downstream Emissions (Category 9: Downstream transportation and distribution, Category 11: Use of sold products, Category 12: End-of-life treatment of sold products)</w:t>
      </w:r>
    </w:p>
    <w:bookmarkStart w:id="35" w:name="X57c887a1fd0735a9b8db55858fd23d86f021b2d"/>
    <w:p>
      <w:pPr>
        <w:pStyle w:val="Heading5"/>
      </w:pPr>
      <w:r>
        <w:t xml:space="preserve">Downstream Transportation and Distribution (Last-Mile Delivery)</w:t>
      </w:r>
    </w:p>
    <w:p>
      <w:pPr>
        <w:pStyle w:val="FirstParagraph"/>
      </w:pPr>
      <w:r>
        <w:t xml:space="preserve">Emissions from delivering the finished product to the end-consumer via</w:t>
      </w:r>
      <w:r>
        <w:t xml:space="preserve"> </w:t>
      </w:r>
      <w:r>
        <w:t xml:space="preserve">Delivery Type</w:t>
      </w:r>
      <w:r>
        <w:t xml:space="preserve">. Assuming a light commercial vehicle with an emission factor of 0.15 kg CO2e/km and a last-mile distance of 50 km.</w:t>
      </w:r>
    </w:p>
    <w:p>
      <w:pPr>
        <w:pStyle w:val="BodyText"/>
      </w:pPr>
      <w:r>
        <w:t xml:space="preserve">Calculated Downstream Transport Emissions:</w:t>
      </w:r>
      <w:r>
        <w:t xml:space="preserve"> </w:t>
      </w:r>
      <w:bookmarkStart w:id="34" w:name="scope3_downstream_transport_calc"/>
      <w:r>
        <w:t xml:space="preserve">0.00</w:t>
      </w:r>
      <w:bookmarkEnd w:id="34"/>
      <w:r>
        <w:t xml:space="preserve"> </w:t>
      </w:r>
      <w:r>
        <w:t xml:space="preserve">kg CO2e/unit</w:t>
      </w:r>
    </w:p>
    <w:bookmarkEnd w:id="35"/>
    <w:bookmarkStart w:id="37" w:name="use-phase-emissions"/>
    <w:p>
      <w:pPr>
        <w:pStyle w:val="Heading5"/>
      </w:pPr>
      <w:r>
        <w:t xml:space="preserve">Use Phase Emissions</w:t>
      </w:r>
    </w:p>
    <w:p>
      <w:pPr>
        <w:pStyle w:val="FirstParagraph"/>
      </w:pPr>
      <w:r>
        <w:t xml:space="preserve">Emissions from energy consumption during the product\'s lifespan, based on</w:t>
      </w:r>
      <w:r>
        <w:t xml:space="preserve"> </w:t>
      </w:r>
      <w:r>
        <w:t xml:space="preserve">yjvvgnents</w:t>
      </w:r>
      <w:r>
        <w:t xml:space="preserve"> </w:t>
      </w:r>
      <w:r>
        <w:t xml:space="preserve">(lifespan) and</w:t>
      </w:r>
      <w:r>
        <w:t xml:space="preserve"> </w:t>
      </w:r>
      <w:r>
        <w:t xml:space="preserve">uxjmrhyowo</w:t>
      </w:r>
      <w:r>
        <w:t xml:space="preserve"> </w:t>
      </w:r>
      <w:r>
        <w:t xml:space="preserve">(energy consumption in use). A generic electricity grid emission factor of 0.4 kg CO2e/kWh is applied for end-user consumption.</w:t>
      </w:r>
    </w:p>
    <w:p>
      <w:pPr>
        <w:pStyle w:val="BodyText"/>
      </w:pPr>
      <w:r>
        <w:t xml:space="preserve">Calculated Use Phase Emissions:</w:t>
      </w:r>
      <w:r>
        <w:t xml:space="preserve"> </w:t>
      </w:r>
      <w:bookmarkStart w:id="36" w:name="scope3_use_calc"/>
      <w:r>
        <w:t xml:space="preserve">0.00</w:t>
      </w:r>
      <w:bookmarkEnd w:id="36"/>
      <w:r>
        <w:t xml:space="preserve"> </w:t>
      </w:r>
      <w:r>
        <w:t xml:space="preserve">kg CO2e/unit</w:t>
      </w:r>
    </w:p>
    <w:bookmarkEnd w:id="37"/>
    <w:bookmarkStart w:id="39" w:name="end-of-life-eol-emissions-and-benefits"/>
    <w:p>
      <w:pPr>
        <w:pStyle w:val="Heading5"/>
      </w:pPr>
      <w:r>
        <w:t xml:space="preserve">End-of-Life (EoL) Emissions and Benefits</w:t>
      </w:r>
    </w:p>
    <w:p>
      <w:pPr>
        <w:pStyle w:val="FirstParagraph"/>
      </w:pPr>
      <w:r>
        <w:t xml:space="preserve">This accounts for the treatment of the product at the end of its life, considering</w:t>
      </w:r>
      <w:r>
        <w:t xml:space="preserve"> </w:t>
      </w:r>
      <w:r>
        <w:t xml:space="preserve">uyqdjpzilo</w:t>
      </w:r>
      <w:r>
        <w:t xml:space="preserve"> </w:t>
      </w:r>
      <w:r>
        <w:t xml:space="preserve">(recyclability percentage) and</w:t>
      </w:r>
      <w:r>
        <w:t xml:space="preserve"> </w:t>
      </w:r>
      <w:r>
        <w:t xml:space="preserve">dyktywhqjq</w:t>
      </w:r>
      <w:r>
        <w:t xml:space="preserve"> </w:t>
      </w:r>
      <w:r>
        <w:t xml:space="preserve">(circular programs). For non-recycled plastic waste, an incineration emission factor of 2.76 kg CO2e/kg is used. For recycled portions, a benefit (avoided emissions) of -1.08 kg CO2e/kg for plastic is applied.</w:t>
      </w:r>
    </w:p>
    <w:p>
      <w:pPr>
        <w:pStyle w:val="BodyText"/>
      </w:pPr>
      <w:r>
        <w:t xml:space="preserve">Calculated EoL Emissions (Net):</w:t>
      </w:r>
      <w:r>
        <w:t xml:space="preserve"> </w:t>
      </w:r>
      <w:bookmarkStart w:id="38" w:name="scope3_eol_calc"/>
      <w:r>
        <w:t xml:space="preserve">0.00</w:t>
      </w:r>
      <w:bookmarkEnd w:id="38"/>
      <w:r>
        <w:t xml:space="preserve"> </w:t>
      </w:r>
      <w:r>
        <w:t xml:space="preserve">kg CO2e/unit</w:t>
      </w:r>
    </w:p>
    <w:bookmarkEnd w:id="39"/>
    <w:bookmarkEnd w:id="40"/>
    <w:bookmarkEnd w:id="41"/>
    <w:bookmarkStart w:id="43" w:name="total-product-carbon-footprint-pcf"/>
    <w:p>
      <w:pPr>
        <w:pStyle w:val="Heading3"/>
      </w:pPr>
      <w:r>
        <w:t xml:space="preserve">4.4. Total Product Carbon Footprint (PCF)</w:t>
      </w:r>
    </w:p>
    <w:p>
      <w:pPr>
        <w:pStyle w:val="FirstParagraph"/>
      </w:pPr>
      <w:r>
        <w:t xml:space="preserve">The total PCF is the sum of emissions from all scopes and lifecycle stages within the defined boundaries, reflecting a comprehensive cradle-to-grave perspective for</w:t>
      </w:r>
      <w:r>
        <w:t xml:space="preserve"> </w:t>
      </w:r>
      <w:r>
        <w:t xml:space="preserve">eyepovmrgv</w:t>
      </w:r>
      <w:r>
        <w:t xml:space="preserve">.</w:t>
      </w:r>
    </w:p>
    <w:p>
      <w:pPr>
        <w:pStyle w:val="BodyText"/>
      </w:pPr>
      <w:r>
        <w:t xml:space="preserve">Estimated Total PCF for 1.0 unit of eyepovmrgv:</w:t>
      </w:r>
      <w:r>
        <w:t xml:space="preserve"> </w:t>
      </w:r>
      <w:bookmarkStart w:id="42" w:name="total_pcf_calc"/>
      <w:r>
        <w:t xml:space="preserve">0.00</w:t>
      </w:r>
      <w:bookmarkEnd w:id="42"/>
      <w:r>
        <w:t xml:space="preserve"> </w:t>
      </w:r>
      <w:r>
        <w:t xml:space="preserve">kg CO2e</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analysis, the primary emission hotspots for</w:t>
      </w:r>
      <w:r>
        <w:t xml:space="preserve"> </w:t>
      </w:r>
      <w:r>
        <w:t xml:space="preserve">eyepovmrgv</w:t>
      </w:r>
      <w:r>
        <w:t xml:space="preserve"> </w:t>
      </w:r>
      <w:r>
        <w:t xml:space="preserve">are likely to be:</w:t>
      </w:r>
    </w:p>
    <w:p>
      <w:pPr>
        <w:numPr>
          <w:ilvl w:val="0"/>
          <w:numId w:val="1009"/>
        </w:numPr>
        <w:pStyle w:val="Compact"/>
      </w:pPr>
      <w:r>
        <w:rPr>
          <w:bCs/>
          <w:b/>
        </w:rPr>
        <w:t xml:space="preserve">Materials:</w:t>
      </w:r>
      <w:r>
        <w:t xml:space="preserve"> </w:t>
      </w:r>
      <w:r>
        <w:t xml:space="preserve">The Detailed Bill of Materials (BOM) provides specific "Total Carbon" values, indicating that certain materials or their production processes (</w:t>
      </w:r>
      <w:r>
        <w:t xml:space="preserve">fjiyfqlv</w:t>
      </w:r>
      <w:r>
        <w:t xml:space="preserve">) could be significant contributors, especially those in the \'Plastics\', \'Metals\', and \'Energy Storage\' categories due to their inherent energy intensity and process emissions.</w:t>
      </w:r>
    </w:p>
    <w:p>
      <w:pPr>
        <w:numPr>
          <w:ilvl w:val="0"/>
          <w:numId w:val="1009"/>
        </w:numPr>
        <w:pStyle w:val="Compact"/>
      </w:pPr>
      <w:r>
        <w:rPr>
          <w:bCs/>
          <w:b/>
        </w:rPr>
        <w:t xml:space="preserve">Use Phase:</w:t>
      </w:r>
      <w:r>
        <w:t xml:space="preserve"> </w:t>
      </w:r>
      <w:r>
        <w:t xml:space="preserve">With a lifespan of</w:t>
      </w:r>
      <w:r>
        <w:t xml:space="preserve"> </w:t>
      </w:r>
      <w:r>
        <w:t xml:space="preserve">yjvvgnents</w:t>
      </w:r>
      <w:r>
        <w:t xml:space="preserve"> </w:t>
      </w:r>
      <w:r>
        <w:t xml:space="preserve">and energy consumption of</w:t>
      </w:r>
      <w:r>
        <w:t xml:space="preserve"> </w:t>
      </w:r>
      <w:r>
        <w:t xml:space="preserve">uxjmrhyowo</w:t>
      </w:r>
      <w:r>
        <w:t xml:space="preserve">, the operational phase could represent a substantial portion of the lifecycle footprint, depending on the energy source mix for the end-user.</w:t>
      </w:r>
    </w:p>
    <w:p>
      <w:pPr>
        <w:numPr>
          <w:ilvl w:val="0"/>
          <w:numId w:val="1009"/>
        </w:numPr>
        <w:pStyle w:val="Compact"/>
      </w:pPr>
      <w:r>
        <w:rPr>
          <w:bCs/>
          <w:b/>
        </w:rPr>
        <w:t xml:space="preserve">Production Energy:</w:t>
      </w:r>
      <w:r>
        <w:t xml:space="preserve"> </w:t>
      </w:r>
      <w:r>
        <w:t xml:space="preserve">The electricity consumption for manufacturing (</w:t>
      </w:r>
      <w:r>
        <w:t xml:space="preserve">qsxynrzwds</w:t>
      </w:r>
      <w:r>
        <w:t xml:space="preserve">) in China, particularly the non-renewable portion (100% -</w:t>
      </w:r>
      <w:r>
        <w:t xml:space="preserve"> </w:t>
      </w:r>
      <w:r>
        <w:t xml:space="preserve">fkmvshvmxe</w:t>
      </w:r>
      <w:r>
        <w:t xml:space="preserve">), is a key hotspot due to China\'s grid emission intensity.</w:t>
      </w:r>
    </w:p>
    <w:p>
      <w:pPr>
        <w:numPr>
          <w:ilvl w:val="0"/>
          <w:numId w:val="1009"/>
        </w:numPr>
        <w:pStyle w:val="Compact"/>
      </w:pPr>
      <w:r>
        <w:rPr>
          <w:bCs/>
          <w:b/>
        </w:rPr>
        <w:t xml:space="preserve">Upstream Transport:</w:t>
      </w:r>
      <w:r>
        <w:t xml:space="preserve"> </w:t>
      </w:r>
      <w:r>
        <w:t xml:space="preserve">Depending on the efficiency of</w:t>
      </w:r>
      <w:r>
        <w:t xml:space="preserve"> </w:t>
      </w:r>
      <w:r>
        <w:t xml:space="preserve">Select Mode</w:t>
      </w:r>
      <w:r>
        <w:t xml:space="preserve"> </w:t>
      </w:r>
      <w:r>
        <w:t xml:space="preserve">over distance</w:t>
      </w:r>
      <w:r>
        <w:t xml:space="preserve"> </w:t>
      </w:r>
      <w:r>
        <w:t xml:space="preserve">isoqtdwpid</w:t>
      </w:r>
      <w:r>
        <w:t xml:space="preserve">, transportation of materials can also contribute significantly.</w:t>
      </w:r>
    </w:p>
    <w:bookmarkEnd w:id="45"/>
    <w:bookmarkStart w:id="46" w:name="data-reliability-and-recommendations"/>
    <w:p>
      <w:pPr>
        <w:pStyle w:val="Heading3"/>
      </w:pPr>
      <w:r>
        <w:t xml:space="preserve">5.2. Data Reliability and Recommendations</w:t>
      </w:r>
    </w:p>
    <w:p>
      <w:pPr>
        <w:pStyle w:val="FirstParagraph"/>
      </w:pPr>
      <w:r>
        <w:t xml:space="preserve">The reliability of this PCF analysis is contingent on the accuracy of the provided primary data and the quality of secondary emission factors used. The BOM data provided ("Total Carbon") is assumed to be highly accurate for material impacts. For other parameters, industry-average emission factors have been applied.</w:t>
      </w:r>
    </w:p>
    <w:p>
      <w:pPr>
        <w:pStyle w:val="BodyText"/>
      </w:pPr>
      <w:r>
        <w:t xml:space="preserve">To enhance data reliability and reduce the carbon footprint,</w:t>
      </w:r>
      <w:r>
        <w:t xml:space="preserve"> </w:t>
      </w:r>
      <w:r>
        <w:t xml:space="preserve">ldruwoufev</w:t>
      </w:r>
      <w:r>
        <w:t xml:space="preserve"> </w:t>
      </w:r>
      <w:r>
        <w:t xml:space="preserve">should consider:</w:t>
      </w:r>
    </w:p>
    <w:p>
      <w:pPr>
        <w:numPr>
          <w:ilvl w:val="0"/>
          <w:numId w:val="1010"/>
        </w:numPr>
        <w:pStyle w:val="Compact"/>
      </w:pPr>
      <w:r>
        <w:rPr>
          <w:bCs/>
          <w:b/>
        </w:rPr>
        <w:t xml:space="preserve">Primary Data Collection:</w:t>
      </w:r>
      <w:r>
        <w:t xml:space="preserve"> </w:t>
      </w:r>
      <w:r>
        <w:t xml:space="preserve">Improve primary data collection for Scope 1 emissions, specific transport modes and distances, and actual energy mix for downstream use specific to regions where the product is sold.</w:t>
      </w:r>
    </w:p>
    <w:p>
      <w:pPr>
        <w:numPr>
          <w:ilvl w:val="0"/>
          <w:numId w:val="1010"/>
        </w:numPr>
        <w:pStyle w:val="Compact"/>
      </w:pPr>
      <w:r>
        <w:rPr>
          <w:bCs/>
          <w:b/>
        </w:rPr>
        <w:t xml:space="preserve">Supply Chain Engagement:</w:t>
      </w:r>
      <w:r>
        <w:t xml:space="preserve"> </w:t>
      </w:r>
      <w:r>
        <w:t xml:space="preserve">Collaborate with suppliers to obtain more specific, cradle-to-gate emission data for materials and components, moving beyond generic emission factors.</w:t>
      </w:r>
    </w:p>
    <w:p>
      <w:pPr>
        <w:numPr>
          <w:ilvl w:val="0"/>
          <w:numId w:val="1010"/>
        </w:numPr>
        <w:pStyle w:val="Compact"/>
      </w:pPr>
      <w:r>
        <w:rPr>
          <w:bCs/>
          <w:b/>
        </w:rPr>
        <w:t xml:space="preserve">Renewable Energy Transition:</w:t>
      </w:r>
      <w:r>
        <w:t xml:space="preserve"> </w:t>
      </w:r>
      <w:r>
        <w:t xml:space="preserve">Increase the percentage of renewable energy used in production (beyond</w:t>
      </w:r>
      <w:r>
        <w:t xml:space="preserve"> </w:t>
      </w:r>
      <w:r>
        <w:t xml:space="preserve">fkmvshvmxe</w:t>
      </w:r>
      <w:r>
        <w:t xml:space="preserve">) and encourage renewable energy adoption in the supply chain.</w:t>
      </w:r>
    </w:p>
    <w:p>
      <w:pPr>
        <w:numPr>
          <w:ilvl w:val="0"/>
          <w:numId w:val="1010"/>
        </w:numPr>
        <w:pStyle w:val="Compact"/>
      </w:pPr>
      <w:r>
        <w:rPr>
          <w:bCs/>
          <w:b/>
        </w:rPr>
        <w:t xml:space="preserve">Product Design for Circularity:</w:t>
      </w:r>
      <w:r>
        <w:t xml:space="preserve"> </w:t>
      </w:r>
      <w:r>
        <w:t xml:space="preserve">Further optimize product design for durability, repairability, and increased recyclability (beyond</w:t>
      </w:r>
      <w:r>
        <w:t xml:space="preserve"> </w:t>
      </w:r>
      <w:r>
        <w:t xml:space="preserve">uyqdjpzilo</w:t>
      </w:r>
      <w:r>
        <w:t xml:space="preserve">), and actively promote</w:t>
      </w:r>
      <w:r>
        <w:t xml:space="preserve"> </w:t>
      </w:r>
      <w:r>
        <w:t xml:space="preserve">dyktywhqjq</w:t>
      </w:r>
      <w:r>
        <w:t xml:space="preserve"> </w:t>
      </w:r>
      <w:r>
        <w:t xml:space="preserve">programs.</w:t>
      </w:r>
    </w:p>
    <w:p>
      <w:pPr>
        <w:numPr>
          <w:ilvl w:val="0"/>
          <w:numId w:val="1010"/>
        </w:numPr>
        <w:pStyle w:val="Compact"/>
      </w:pPr>
      <w:r>
        <w:rPr>
          <w:bCs/>
          <w:b/>
        </w:rPr>
        <w:t xml:space="preserve">Logistics Optimization:</w:t>
      </w:r>
      <w:r>
        <w:t xml:space="preserve"> </w:t>
      </w:r>
      <w:r>
        <w:t xml:space="preserve">Investigate more efficient and lower-carbon transport modes and routes for both upstream and downstream logistics.</w:t>
      </w:r>
    </w:p>
    <w:p>
      <w:pPr>
        <w:numPr>
          <w:ilvl w:val="0"/>
          <w:numId w:val="1010"/>
        </w:numPr>
        <w:pStyle w:val="Compact"/>
      </w:pPr>
      <w:r>
        <w:rPr>
          <w:bCs/>
          <w:b/>
        </w:rPr>
        <w:t xml:space="preserve">Energy Efficiency in Use:</w:t>
      </w:r>
      <w:r>
        <w:t xml:space="preserve"> </w:t>
      </w:r>
      <w:r>
        <w:t xml:space="preserve">Explore design improvements to reduce the product\'s energy consumption during its use phase.</w:t>
      </w:r>
    </w:p>
    <w:p>
      <w:pPr>
        <w:pStyle w:val="FirstParagraph"/>
      </w:pPr>
      <w:r>
        <w:t xml:space="preserve">This report provides a robust baseline for</w:t>
      </w:r>
      <w:r>
        <w:t xml:space="preserve"> </w:t>
      </w:r>
      <w:r>
        <w:t xml:space="preserve">eyepovmrgv</w:t>
      </w:r>
      <w:r>
        <w:t xml:space="preserve">\'s carbon footprint. Continuous monitoring and reporting will be crucial for tracking progress towards decarbonization goals.</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eyepovmrgv</dc:title>
  <dc:creator/>
  <dc:description>Detailed Product Carbon Footprint (PCF) analysis report for eyepovmrgv, conducted by Senior Sustainability Consultant oufhztudqt for ldruwoufev, adhering to GHG Protocol standards and 2026 LSR update.</dc:description>
  <dc:language>en</dc:language>
  <cp:keywords/>
  <dcterms:created xsi:type="dcterms:W3CDTF">2026-07-16T13:51:54Z</dcterms:created>
  <dcterms:modified xsi:type="dcterms:W3CDTF">2026-07-16T13:51:54Z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