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exwtmnrimi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exwtmnrimi</w:t>
      </w:r>
    </w:p>
    <w:p>
      <w:pPr>
        <w:pStyle w:val="BodyText"/>
      </w:pPr>
      <w:r>
        <w:rPr>
          <w:bCs/>
          <w:b/>
        </w:rPr>
        <w:t xml:space="preserve">Company Name:</w:t>
      </w:r>
      <w:r>
        <w:t xml:space="preserve"> </w:t>
      </w:r>
      <w:r>
        <w:t xml:space="preserve">grrivzddyo</w:t>
      </w:r>
    </w:p>
    <w:p>
      <w:pPr>
        <w:pStyle w:val="BodyText"/>
      </w:pPr>
      <w:r>
        <w:rPr>
          <w:bCs/>
          <w:b/>
        </w:rPr>
        <w:t xml:space="preserve">Senior Sustainability Consultant:</w:t>
      </w:r>
      <w:r>
        <w:t xml:space="preserve"> </w:t>
      </w:r>
      <w:r>
        <w:t xml:space="preserve">igxexwjmqx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rely on assumptions for placeholder parameters and publicly available emission factors, and thus represent an estimate of the product\'s carbon footprint.</w:t>
      </w:r>
    </w:p>
    <w:bookmarkEnd w:id="20"/>
    <w:bookmarkStart w:id="21" w:name="X67a1193a8138539705316abce285fd0d8d17899"/>
    <w:p>
      <w:pPr>
        <w:pStyle w:val="Heading1"/>
      </w:pPr>
      <w:r>
        <w:t xml:space="preserve">Product Carbon Footprint Analysis for exwtmnrimi</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"exwtmnrimi" manufactured by "grrivzddyo". The analysis was conducted by Senior Sustainability Consultant "igxexwjmqx" in accordance with the GHG Protocol standards. The objective is to quantify the greenhouse gas (GHG) emissions associated with the product\'s lifecycle, from material acquisition to end-of-life, identify emission hotspots, and provide recommendations for reduction. Special attention has been given to the upcoming 2026 updates to the GHG Protocol\'s Land Sector and Removals (LSR) Standard and Scope 3 reporting requirements.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exwtmnrimi.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Cradle-to-gate, extending to the "factory_gate". This means the analysis includes raw material extraction, processing, component manufacturing, and the final production of the product at the factory. Downstream stages such as transportation to customer, use phase, and end-of-life are also included as per the request, expanding beyond a strict "factory_gate" definition to a full lifecycle assessment for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material sourcing and initial processing may occur in Europe, with final assembly in China, and subsequent distribution globally.</w:t>
      </w:r>
    </w:p>
    <w:p>
      <w:pPr>
        <w:numPr>
          <w:ilvl w:val="0"/>
          <w:numId w:val="1001"/>
        </w:numPr>
        <w:pStyle w:val="Compact"/>
      </w:pPr>
      <w:r>
        <w:rPr>
          <w:bCs/>
          <w:b/>
        </w:rPr>
        <w:t xml:space="preserve">Allocation:</w:t>
      </w:r>
      <w:r>
        <w:t xml:space="preserve"> </w:t>
      </w:r>
      <w:r>
        <w:t xml:space="preserve">Emissions are allocated directly to the functional unit. Where shared processes occur, allocation is performed based on physical parameters (e.g., mass, energy consumption) or economic value where physical allocation is not feasible or representative.</w:t>
      </w:r>
    </w:p>
    <w:p>
      <w:pPr>
        <w:numPr>
          <w:ilvl w:val="0"/>
          <w:numId w:val="1001"/>
        </w:numPr>
        <w:pStyle w:val="Compact"/>
      </w:pPr>
      <w:r>
        <w:rPr>
          <w:bCs/>
          <w:b/>
        </w:rPr>
        <w:t xml:space="preserve">Accounting Standard:</w:t>
      </w:r>
      <w:r>
        <w:t xml:space="preserve"> </w:t>
      </w:r>
      <w:r>
        <w:t xml:space="preserve">This analysis strictly adheres to the Greenhouse Gas (GHG) Protocol. Emissions are categorized into Scope 1 (direct emissions), Scope 2 (indirect emissions from purchased energy), and Scope 3 (all other indirect emissions in the value chain).</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exwtmnrimi has been mapped into several key stages, and data collected or assumed for each. The analysis covers Material Acquisition &amp; Processing, Manufacturing, Transportation &amp; Distribution, Use Phase, and End-of-Life.</w:t>
      </w:r>
    </w:p>
    <w:bookmarkStart w:id="24" w:name="X52357f055a01d0b9ea11cd86efdf38db37df8ef"/>
    <w:p>
      <w:pPr>
        <w:pStyle w:val="Heading3"/>
      </w:pPr>
      <w:r>
        <w:t xml:space="preserve">2.1. Detailed Bill of Materials (BOM) &amp; Material Acquisition</w:t>
      </w:r>
    </w:p>
    <w:p>
      <w:pPr>
        <w:pStyle w:val="FirstParagraph"/>
      </w:pPr>
      <w:r>
        <w:t xml:space="preserve">The following Bill of Materials (BOM) data, designated as `nwhpgthk`, has been used for high-accuracy material impact calculation. The values for "Emission Factor" and "Total Carbon" are illustrative based on typical industry data, as direct values were placeholders.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103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105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7.23 kgCO2e</w:t>
            </w:r>
          </w:p>
        </w:tc>
      </w:tr>
    </w:tbl>
    <w:bookmarkEnd w:id="24"/>
    <w:bookmarkStart w:id="25" w:name="manufacturingproduction-energy-inputs"/>
    <w:p>
      <w:pPr>
        <w:pStyle w:val="Heading3"/>
      </w:pPr>
      <w:r>
        <w:t xml:space="preserve">2.2. Manufacturing/Production Energy Inputs</w:t>
      </w:r>
    </w:p>
    <w:p>
      <w:pPr>
        <w:numPr>
          <w:ilvl w:val="0"/>
          <w:numId w:val="1002"/>
        </w:numPr>
        <w:pStyle w:val="Compact"/>
      </w:pPr>
      <w:r>
        <w:rPr>
          <w:bCs/>
          <w:b/>
        </w:rPr>
        <w:t xml:space="preserve">Energy Intensity (kWh/unit):</w:t>
      </w:r>
      <w:r>
        <w:t xml:space="preserve"> </w:t>
      </w:r>
      <w:r>
        <w:t xml:space="preserve">2.8 kWh/unit (`vdvusymwvy`).</w:t>
      </w:r>
    </w:p>
    <w:p>
      <w:pPr>
        <w:numPr>
          <w:ilvl w:val="0"/>
          <w:numId w:val="1002"/>
        </w:numPr>
        <w:pStyle w:val="Compact"/>
      </w:pPr>
      <w:r>
        <w:rPr>
          <w:bCs/>
          <w:b/>
        </w:rPr>
        <w:t xml:space="preserve">Renewable Energy Usage:</w:t>
      </w:r>
      <w:r>
        <w:t xml:space="preserve"> </w:t>
      </w:r>
      <w:r>
        <w:t xml:space="preserve">60% (`sfsgqwlpsy`). This indicates that 60% of the purchased electricity for production comes from renewable sources, reducing the grid electricity impact. The remaining 40% is sourced from the conventional grid mix in China.</w:t>
      </w:r>
    </w:p>
    <w:bookmarkEnd w:id="25"/>
    <w:bookmarkStart w:id="26" w:name="transport-distribution-data"/>
    <w:p>
      <w:pPr>
        <w:pStyle w:val="Heading3"/>
      </w:pPr>
      <w:r>
        <w:t xml:space="preserve">2.3. Transport &amp; Distribution Data</w:t>
      </w:r>
    </w:p>
    <w:p>
      <w:pPr>
        <w:pStyle w:val="FirstParagraph"/>
      </w:pPr>
      <w:r>
        <w:t xml:space="preserve">Logistics data is incorporated into the supply chain analysis:</w:t>
      </w:r>
    </w:p>
    <w:p>
      <w:pPr>
        <w:numPr>
          <w:ilvl w:val="0"/>
          <w:numId w:val="1003"/>
        </w:numPr>
        <w:pStyle w:val="Compact"/>
      </w:pPr>
      <w:r>
        <w:rPr>
          <w:bCs/>
          <w:b/>
        </w:rPr>
        <w:t xml:space="preserve">Inbound Transport (Materials from Europe to China):</w:t>
      </w:r>
    </w:p>
    <w:p>
      <w:pPr>
        <w:numPr>
          <w:ilvl w:val="1"/>
          <w:numId w:val="1004"/>
        </w:numPr>
        <w:pStyle w:val="Compact"/>
      </w:pPr>
      <w:r>
        <w:rPr>
          <w:bCs/>
          <w:b/>
        </w:rPr>
        <w:t xml:space="preserve">Mode:</w:t>
      </w:r>
      <w:r>
        <w:t xml:space="preserve"> </w:t>
      </w:r>
      <w:r>
        <w:t xml:space="preserve">Ocean Freight, Road Freight (Heavy Duty Truck) (assumed from `Select Mode`)</w:t>
      </w:r>
    </w:p>
    <w:p>
      <w:pPr>
        <w:numPr>
          <w:ilvl w:val="1"/>
          <w:numId w:val="1004"/>
        </w:numPr>
        <w:pStyle w:val="Compact"/>
      </w:pPr>
      <w:r>
        <w:rPr>
          <w:bCs/>
          <w:b/>
        </w:rPr>
        <w:t xml:space="preserve">Distance:</w:t>
      </w:r>
      <w:r>
        <w:t xml:space="preserve"> </w:t>
      </w:r>
      <w:r>
        <w:t xml:space="preserve">8000 km (Ocean) + 500 km (Road) (assumed from `dhpvthtxvp`)</w:t>
      </w:r>
    </w:p>
    <w:p>
      <w:pPr>
        <w:numPr>
          <w:ilvl w:val="1"/>
          <w:numId w:val="1004"/>
        </w:numPr>
        <w:pStyle w:val="Compact"/>
      </w:pPr>
      <w:r>
        <w:rPr>
          <w:bCs/>
          <w:b/>
        </w:rPr>
        <w:t xml:space="preserve">Product Mass (approximated for transport):</w:t>
      </w:r>
      <w:r>
        <w:t xml:space="preserve"> </w:t>
      </w:r>
      <w:r>
        <w:t xml:space="preserve">Based on BOM, total material mass is 0.5 + 0.3 + 0.05 + 0.02 = 0.87 kg (assuming PCB weight is incorporated into its EF). For transport calculations, a total unit mass of 1 kg is assumed to account for packaging.</w:t>
      </w:r>
    </w:p>
    <w:p>
      <w:pPr>
        <w:numPr>
          <w:ilvl w:val="0"/>
          <w:numId w:val="1003"/>
        </w:numPr>
        <w:pStyle w:val="Compact"/>
      </w:pPr>
      <w:r>
        <w:rPr>
          <w:bCs/>
          <w:b/>
        </w:rPr>
        <w:t xml:space="preserve">Outbound Transport (Finished Product from China to Europe):</w:t>
      </w:r>
    </w:p>
    <w:p>
      <w:pPr>
        <w:numPr>
          <w:ilvl w:val="1"/>
          <w:numId w:val="1005"/>
        </w:numPr>
        <w:pStyle w:val="Compact"/>
      </w:pPr>
      <w:r>
        <w:rPr>
          <w:bCs/>
          <w:b/>
        </w:rPr>
        <w:t xml:space="preserve">Mode:</w:t>
      </w:r>
      <w:r>
        <w:t xml:space="preserve"> </w:t>
      </w:r>
      <w:r>
        <w:t xml:space="preserve">Ocean Freight, Road Freight (Heavy Duty Truck) (assumed from `Select Mode`)</w:t>
      </w:r>
    </w:p>
    <w:p>
      <w:pPr>
        <w:numPr>
          <w:ilvl w:val="1"/>
          <w:numId w:val="1005"/>
        </w:numPr>
        <w:pStyle w:val="Compact"/>
      </w:pPr>
      <w:r>
        <w:rPr>
          <w:bCs/>
          <w:b/>
        </w:rPr>
        <w:t xml:space="preserve">Distance:</w:t>
      </w:r>
      <w:r>
        <w:t xml:space="preserve"> </w:t>
      </w:r>
      <w:r>
        <w:t xml:space="preserve">10000 km (Ocean) + 500 km (Road) (assumed from `dhpvthtxvp`)</w:t>
      </w:r>
    </w:p>
    <w:p>
      <w:pPr>
        <w:numPr>
          <w:ilvl w:val="1"/>
          <w:numId w:val="1005"/>
        </w:numPr>
        <w:pStyle w:val="Compact"/>
      </w:pPr>
      <w:r>
        <w:rPr>
          <w:bCs/>
          <w:b/>
        </w:rPr>
        <w:t xml:space="preserve">Product Mass:</w:t>
      </w:r>
      <w:r>
        <w:t xml:space="preserve"> </w:t>
      </w:r>
      <w:r>
        <w:t xml:space="preserve">1 kg per unit (including packaging).</w:t>
      </w:r>
    </w:p>
    <w:p>
      <w:pPr>
        <w:numPr>
          <w:ilvl w:val="0"/>
          <w:numId w:val="1003"/>
        </w:numPr>
        <w:pStyle w:val="Compact"/>
      </w:pPr>
      <w:r>
        <w:rPr>
          <w:bCs/>
          <w:b/>
        </w:rPr>
        <w:t xml:space="preserve">Last-Mile Delivery Channel:</w:t>
      </w:r>
      <w:r>
        <w:t xml:space="preserve"> </w:t>
      </w:r>
      <w:r>
        <w:t xml:space="preserve">Road (Light Commercial Van) (assumed from `Delivery Type`). This applies to distribution within the European market. A last-mile distance of 100 km per unit is assumed.</w:t>
      </w:r>
    </w:p>
    <w:bookmarkEnd w:id="26"/>
    <w:bookmarkStart w:id="27"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(`tnlvswzkdw`).</w:t>
      </w:r>
    </w:p>
    <w:p>
      <w:pPr>
        <w:numPr>
          <w:ilvl w:val="0"/>
          <w:numId w:val="1006"/>
        </w:numPr>
        <w:pStyle w:val="Compact"/>
      </w:pPr>
      <w:r>
        <w:rPr>
          <w:bCs/>
          <w:b/>
        </w:rPr>
        <w:t xml:space="preserve">Energy Consumption in Use:</w:t>
      </w:r>
      <w:r>
        <w:t xml:space="preserve"> </w:t>
      </w:r>
      <w:r>
        <w:t xml:space="preserve">12 kWh/year (`tlljeeexjz`).</w:t>
      </w:r>
    </w:p>
    <w:p>
      <w:pPr>
        <w:numPr>
          <w:ilvl w:val="0"/>
          <w:numId w:val="1006"/>
        </w:numPr>
        <w:pStyle w:val="Compact"/>
      </w:pPr>
      <w:r>
        <w:rPr>
          <w:bCs/>
          <w:b/>
        </w:rPr>
        <w:t xml:space="preserve">Total Use Phase Energy:</w:t>
      </w:r>
      <w:r>
        <w:t xml:space="preserve"> </w:t>
      </w:r>
      <w:r>
        <w:t xml:space="preserve">12 kWh/year * 5 years = 60 kWh.</w:t>
      </w:r>
    </w:p>
    <w:bookmarkEnd w:id="27"/>
    <w:bookmarkStart w:id="28"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70% (`uiqszfoyrs`).</w:t>
      </w:r>
    </w:p>
    <w:p>
      <w:pPr>
        <w:numPr>
          <w:ilvl w:val="0"/>
          <w:numId w:val="1007"/>
        </w:numPr>
        <w:pStyle w:val="Compact"/>
      </w:pPr>
      <w:r>
        <w:rPr>
          <w:bCs/>
          <w:b/>
        </w:rPr>
        <w:t xml:space="preserve">Circular/Take-back Programs:</w:t>
      </w:r>
      <w:r>
        <w:t xml:space="preserve"> </w:t>
      </w:r>
      <w:r>
        <w:t xml:space="preserve">Yes, contributing to 10% avoided End-of-Life emissions (`yetrevmohl`). This credit is applied to the non-recycled portion.</w:t>
      </w:r>
    </w:p>
    <w:p>
      <w:r>
        <w:pict>
          <v:rect style="width:0;height:1.5pt" o:hralign="center" o:hrstd="t" o:hr="t"/>
        </w:pict>
      </w:r>
    </w:p>
    <w:bookmarkEnd w:id="28"/>
    <w:bookmarkEnd w:id="29"/>
    <w:bookmarkStart w:id="42" w:name="calculate-emissions"/>
    <w:p>
      <w:pPr>
        <w:pStyle w:val="Heading2"/>
      </w:pPr>
      <w:r>
        <w:t xml:space="preserve">4. Calculate Emissions</w:t>
      </w:r>
    </w:p>
    <w:p>
      <w:pPr>
        <w:pStyle w:val="FirstParagraph"/>
      </w:pPr>
      <w:r>
        <w:t xml:space="preserve">Emissions are calculated based on activity data multiplied by appropriate emission factors. Industry-standard emission factors (e.g., from Ecoinvent/DEFRA, IEA, EPA) are used, with specific assumed values stated below. All results are expressed in kgCO2e.</w:t>
      </w:r>
    </w:p>
    <w:bookmarkStart w:id="30" w:name="assumed-emission-factors"/>
    <w:p>
      <w:pPr>
        <w:pStyle w:val="Heading3"/>
      </w:pPr>
      <w:r>
        <w:t xml:space="preserve">4.1.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Emission Factor (kgCO2e/unit or kgCO2e/km)</w:t>
            </w:r>
          </w:p>
        </w:tc>
        <w:tc>
          <w:tcPr/>
          <w:p>
            <w:pPr>
              <w:pStyle w:val="Compact"/>
              <w:jc w:val="left"/>
            </w:pPr>
            <w:r>
              <w:t xml:space="preserve">Source/Comment</w:t>
            </w:r>
          </w:p>
        </w:tc>
      </w:tr>
      <w:tr>
        <w:tc>
          <w:tcPr/>
          <w:p>
            <w:pPr>
              <w:pStyle w:val="Compact"/>
              <w:jc w:val="left"/>
            </w:pPr>
            <w:r>
              <w:t xml:space="preserve">Electricity</w:t>
            </w:r>
          </w:p>
        </w:tc>
        <w:tc>
          <w:tcPr/>
          <w:p>
            <w:pPr>
              <w:pStyle w:val="Compact"/>
              <w:jc w:val="left"/>
            </w:pPr>
            <w:r>
              <w:t xml:space="preserve">China Grid Mix</w:t>
            </w:r>
          </w:p>
        </w:tc>
        <w:tc>
          <w:tcPr/>
          <w:p>
            <w:pPr>
              <w:pStyle w:val="Compact"/>
              <w:jc w:val="left"/>
            </w:pPr>
            <w:r>
              <w:t xml:space="preserve">0.57 kgCO2e/kWh</w:t>
            </w:r>
          </w:p>
        </w:tc>
        <w:tc>
          <w:tcPr/>
          <w:p>
            <w:pPr>
              <w:pStyle w:val="Compact"/>
              <w:jc w:val="left"/>
            </w:pPr>
            <w:r>
              <w:t xml:space="preserve">Average factor for China</w:t>
            </w:r>
          </w:p>
        </w:tc>
      </w:tr>
      <w:tr>
        <w:tc>
          <w:tcPr/>
          <w:p>
            <w:pPr>
              <w:pStyle w:val="Compact"/>
              <w:jc w:val="left"/>
            </w:pPr>
            <w:r>
              <w:t xml:space="preserve">Electricity</w:t>
            </w:r>
          </w:p>
        </w:tc>
        <w:tc>
          <w:tcPr/>
          <w:p>
            <w:pPr>
              <w:pStyle w:val="Compact"/>
              <w:jc w:val="left"/>
            </w:pPr>
            <w:r>
              <w:t xml:space="preserve">European Grid Mix (Use Phase)</w:t>
            </w:r>
          </w:p>
        </w:tc>
        <w:tc>
          <w:tcPr/>
          <w:p>
            <w:pPr>
              <w:pStyle w:val="Compact"/>
              <w:jc w:val="left"/>
            </w:pPr>
            <w:r>
              <w:t xml:space="preserve">0.28 kgCO2e/kWh</w:t>
            </w:r>
          </w:p>
        </w:tc>
        <w:tc>
          <w:tcPr/>
          <w:p>
            <w:pPr>
              <w:pStyle w:val="Compact"/>
              <w:jc w:val="left"/>
            </w:pPr>
            <w:r>
              <w:t xml:space="preserve">Average factor for Europe</w:t>
            </w:r>
          </w:p>
        </w:tc>
      </w:tr>
      <w:tr>
        <w:tc>
          <w:tcPr/>
          <w:p>
            <w:pPr>
              <w:pStyle w:val="Compact"/>
              <w:jc w:val="left"/>
            </w:pPr>
            <w:r>
              <w:t xml:space="preserve">Transport</w:t>
            </w:r>
          </w:p>
        </w:tc>
        <w:tc>
          <w:tcPr/>
          <w:p>
            <w:pPr>
              <w:pStyle w:val="Compact"/>
              <w:jc w:val="left"/>
            </w:pPr>
            <w:r>
              <w:t xml:space="preserve">Ocean Freight (Container Ship)</w:t>
            </w:r>
          </w:p>
        </w:tc>
        <w:tc>
          <w:tcPr/>
          <w:p>
            <w:pPr>
              <w:pStyle w:val="Compact"/>
              <w:jc w:val="left"/>
            </w:pPr>
            <w:r>
              <w:t xml:space="preserve">0.016 kgCO2e/tonne-km</w:t>
            </w:r>
          </w:p>
        </w:tc>
        <w:tc>
          <w:tcPr/>
          <w:p>
            <w:pPr>
              <w:pStyle w:val="Compact"/>
              <w:jc w:val="left"/>
            </w:pPr>
            <w:r>
              <w:t xml:space="preserve">DEFRA/BEIS average</w:t>
            </w:r>
          </w:p>
        </w:tc>
      </w:tr>
      <w:tr>
        <w:tc>
          <w:tcPr/>
          <w:p>
            <w:pPr>
              <w:pStyle w:val="Compact"/>
              <w:jc w:val="left"/>
            </w:pPr>
            <w:r>
              <w:t xml:space="preserve">Transport</w:t>
            </w:r>
          </w:p>
        </w:tc>
        <w:tc>
          <w:tcPr/>
          <w:p>
            <w:pPr>
              <w:pStyle w:val="Compact"/>
              <w:jc w:val="left"/>
            </w:pPr>
            <w:r>
              <w:t xml:space="preserve">Road Freight (Heavy Duty Truck)</w:t>
            </w:r>
          </w:p>
        </w:tc>
        <w:tc>
          <w:tcPr/>
          <w:p>
            <w:pPr>
              <w:pStyle w:val="Compact"/>
              <w:jc w:val="left"/>
            </w:pPr>
            <w:r>
              <w:t xml:space="preserve">0.08 kgCO2e/tonne-km</w:t>
            </w:r>
          </w:p>
        </w:tc>
        <w:tc>
          <w:tcPr/>
          <w:p>
            <w:pPr>
              <w:pStyle w:val="Compact"/>
              <w:jc w:val="left"/>
            </w:pPr>
            <w:r>
              <w:t xml:space="preserve">Representative for long-haul road freight</w:t>
            </w:r>
          </w:p>
        </w:tc>
      </w:tr>
      <w:tr>
        <w:tc>
          <w:tcPr/>
          <w:p>
            <w:pPr>
              <w:pStyle w:val="Compact"/>
              <w:jc w:val="left"/>
            </w:pPr>
            <w:r>
              <w:t xml:space="preserve">Transport</w:t>
            </w:r>
          </w:p>
        </w:tc>
        <w:tc>
          <w:tcPr/>
          <w:p>
            <w:pPr>
              <w:pStyle w:val="Compact"/>
              <w:jc w:val="left"/>
            </w:pPr>
            <w:r>
              <w:t xml:space="preserve">Road Freight (Light Commercial Van, Last-Mile)</w:t>
            </w:r>
          </w:p>
        </w:tc>
        <w:tc>
          <w:tcPr/>
          <w:p>
            <w:pPr>
              <w:pStyle w:val="Compact"/>
              <w:jc w:val="left"/>
            </w:pPr>
            <w:r>
              <w:t xml:space="preserve">0.15 kgCO2e/tonne-km</w:t>
            </w:r>
          </w:p>
        </w:tc>
        <w:tc>
          <w:tcPr/>
          <w:p>
            <w:pPr>
              <w:pStyle w:val="Compact"/>
              <w:jc w:val="left"/>
            </w:pPr>
            <w:r>
              <w:t xml:space="preserve">Representative for last-mile delivery</w:t>
            </w:r>
          </w:p>
        </w:tc>
      </w:tr>
      <w:tr>
        <w:tc>
          <w:tcPr/>
          <w:p>
            <w:pPr>
              <w:pStyle w:val="Compact"/>
              <w:jc w:val="left"/>
            </w:pPr>
            <w:r>
              <w:t xml:space="preserve">End-of-Life</w:t>
            </w:r>
          </w:p>
        </w:tc>
        <w:tc>
          <w:tcPr/>
          <w:p>
            <w:pPr>
              <w:pStyle w:val="Compact"/>
              <w:jc w:val="left"/>
            </w:pPr>
            <w:r>
              <w:t xml:space="preserve">Disposal (Landfill/Incineration)</w:t>
            </w:r>
          </w:p>
        </w:tc>
        <w:tc>
          <w:tcPr/>
          <w:p>
            <w:pPr>
              <w:pStyle w:val="Compact"/>
              <w:jc w:val="left"/>
            </w:pPr>
            <w:r>
              <w:t xml:space="preserve">1.0 kgCO2e/kg</w:t>
            </w:r>
          </w:p>
        </w:tc>
        <w:tc>
          <w:tcPr/>
          <w:p>
            <w:pPr>
              <w:pStyle w:val="Compact"/>
              <w:jc w:val="left"/>
            </w:pPr>
            <w:r>
              <w:t xml:space="preserve">Blended factor for non-recycled waste</w:t>
            </w:r>
          </w:p>
        </w:tc>
      </w:tr>
      <w:tr>
        <w:tc>
          <w:tcPr/>
          <w:p>
            <w:pPr>
              <w:pStyle w:val="Compact"/>
              <w:jc w:val="left"/>
            </w:pPr>
            <w:r>
              <w:t xml:space="preserve">End-of-Life</w:t>
            </w:r>
          </w:p>
        </w:tc>
        <w:tc>
          <w:tcPr/>
          <w:p>
            <w:pPr>
              <w:pStyle w:val="Compact"/>
              <w:jc w:val="left"/>
            </w:pPr>
            <w:r>
              <w:t xml:space="preserve">Recycling Credit (Avoided Virgin Production)</w:t>
            </w:r>
          </w:p>
        </w:tc>
        <w:tc>
          <w:tcPr/>
          <w:p>
            <w:pPr>
              <w:pStyle w:val="Compact"/>
              <w:jc w:val="left"/>
            </w:pPr>
            <w:r>
              <w:t xml:space="preserve">-0.5 kgCO2e/kg</w:t>
            </w:r>
          </w:p>
        </w:tc>
        <w:tc>
          <w:tcPr/>
          <w:p>
            <w:pPr>
              <w:pStyle w:val="Compact"/>
              <w:jc w:val="left"/>
            </w:pPr>
            <w:r>
              <w:t xml:space="preserve">Representative for avoided primary material production</w:t>
            </w:r>
          </w:p>
        </w:tc>
      </w:tr>
    </w:tbl>
    <w:bookmarkEnd w:id="30"/>
    <w:bookmarkStart w:id="38" w:name="X22fb895e9da27fe7a84ba06e7996376b3317f9e"/>
    <w:p>
      <w:pPr>
        <w:pStyle w:val="Heading3"/>
      </w:pPr>
      <w:r>
        <w:t xml:space="preserve">4.2. Emission Calculations by Lifecycle Stage (GHG Protocol Scopes)</w:t>
      </w:r>
    </w:p>
    <w:bookmarkStart w:id="31" w:name="scope-1-direct-emissions-negligible"/>
    <w:p>
      <w:pPr>
        <w:pStyle w:val="Heading4"/>
      </w:pPr>
      <w:r>
        <w:t xml:space="preserve">Scope 1: Direct Emissions (Negligible)</w:t>
      </w:r>
    </w:p>
    <w:p>
      <w:pPr>
        <w:pStyle w:val="FirstParagraph"/>
      </w:pPr>
      <w:r>
        <w:t xml:space="preserve">Direct emissions from owned or controlled sources (e.g., fuel combustion in company vehicles or facilities) are assumed to be negligible for this product\'s PCF within the defined "factory_gate" boundary, as the primary energy source is purchased electricity and transport is by third parties. Any potential minor on-site fuel use is considered de minimis for this assessment.</w:t>
      </w:r>
    </w:p>
    <w:bookmarkEnd w:id="31"/>
    <w:bookmarkStart w:id="32" w:name="X940f739cc6425d99b84e128f190b13e064c5cd0"/>
    <w:p>
      <w:pPr>
        <w:pStyle w:val="Heading4"/>
      </w:pPr>
      <w:r>
        <w:t xml:space="preserve">Scope 2: Indirect Emissions from Purchased Energy</w:t>
      </w:r>
    </w:p>
    <w:p>
      <w:pPr>
        <w:pStyle w:val="FirstParagraph"/>
      </w:pPr>
      <w:r>
        <w:t xml:space="preserve">These emissions arise from the generation of purchased electricity for the manufacturing process.</w:t>
      </w:r>
    </w:p>
    <w:p>
      <w:pPr>
        <w:numPr>
          <w:ilvl w:val="0"/>
          <w:numId w:val="1008"/>
        </w:numPr>
        <w:pStyle w:val="Compact"/>
      </w:pPr>
      <w:r>
        <w:t xml:space="preserve">Total energy intensity: 2.8 kWh/unit</w:t>
      </w:r>
    </w:p>
    <w:p>
      <w:pPr>
        <w:numPr>
          <w:ilvl w:val="0"/>
          <w:numId w:val="1008"/>
        </w:numPr>
        <w:pStyle w:val="Compact"/>
      </w:pPr>
      <w:r>
        <w:t xml:space="preserve">Non-renewable portion: 2.8 kWh/unit * (1 - 0.60 renewable usage) = 2.8 * 0.40 = 1.12 kWh/unit</w:t>
      </w:r>
    </w:p>
    <w:p>
      <w:pPr>
        <w:numPr>
          <w:ilvl w:val="0"/>
          <w:numId w:val="1008"/>
        </w:numPr>
        <w:pStyle w:val="Compact"/>
      </w:pPr>
      <w:r>
        <w:t xml:space="preserve">Emissions from purchased electricity: 1.12 kWh/unit * 0.57 kgCO2e/kWh (China grid) = 0.6384 kgCO2e/unit</w:t>
      </w:r>
    </w:p>
    <w:p>
      <w:pPr>
        <w:numPr>
          <w:ilvl w:val="0"/>
          <w:numId w:val="1008"/>
        </w:numPr>
        <w:pStyle w:val="Compact"/>
      </w:pPr>
      <w:r>
        <w:rPr>
          <w:bCs/>
          <w:b/>
        </w:rPr>
        <w:t xml:space="preserve">Total Scope 2 Emissions: 0.64 kgCO2e</w:t>
      </w:r>
    </w:p>
    <w:bookmarkEnd w:id="32"/>
    <w:bookmarkStart w:id="37" w:name="Xd1c2b652bc5876514f180a21f002993b8de8e83"/>
    <w:p>
      <w:pPr>
        <w:pStyle w:val="Heading4"/>
      </w:pPr>
      <w:r>
        <w:t xml:space="preserve">Scope 3: Other Indirect Emissions (Value Chain)</w:t>
      </w:r>
    </w:p>
    <w:bookmarkStart w:id="33" w:name="X62c1d12d3336ed4c24b6016fcd5cad3f8e97b1c"/>
    <w:p>
      <w:pPr>
        <w:pStyle w:val="Heading5"/>
      </w:pPr>
      <w:r>
        <w:t xml:space="preserve">Category 1: Purchased Goods and Services (Material Acquisition &amp; Processing)</w:t>
      </w:r>
    </w:p>
    <w:p>
      <w:pPr>
        <w:pStyle w:val="FirstParagraph"/>
      </w:pPr>
      <w:r>
        <w:t xml:space="preserve">Calculations based on the provided Detailed Bill of Materials (BOM) `nwhpgthk`.</w:t>
      </w:r>
    </w:p>
    <w:p>
      <w:pPr>
        <w:numPr>
          <w:ilvl w:val="0"/>
          <w:numId w:val="1009"/>
        </w:numPr>
        <w:pStyle w:val="Compact"/>
      </w:pPr>
      <w:r>
        <w:t xml:space="preserve">Total Material Carbon Footprint: 7.23 kgCO2e (as per BOM table)</w:t>
      </w:r>
    </w:p>
    <w:p>
      <w:pPr>
        <w:numPr>
          <w:ilvl w:val="0"/>
          <w:numId w:val="1009"/>
        </w:numPr>
        <w:pStyle w:val="Compact"/>
      </w:pPr>
      <w:r>
        <w:rPr>
          <w:bCs/>
          <w:b/>
        </w:rPr>
        <w:t xml:space="preserve">Total Scope 3 - Purchased Goods &amp; Services Emissions: 7.23 kgCO2e</w:t>
      </w:r>
    </w:p>
    <w:bookmarkEnd w:id="33"/>
    <w:bookmarkStart w:id="34" w:name="X6669a43143349c25ec93e775eebde43de53a73c"/>
    <w:p>
      <w:pPr>
        <w:pStyle w:val="Heading5"/>
      </w:pPr>
      <w:r>
        <w:t xml:space="preserve">Category 4: Upstream Transportation and Distribution</w:t>
      </w:r>
    </w:p>
    <w:p>
      <w:pPr>
        <w:pStyle w:val="FirstParagraph"/>
      </w:pPr>
      <w:r>
        <w:t xml:space="preserve">Emissions from inbound transport of materials and outbound transport of the finished product to the distribution hub in Europe.</w:t>
      </w:r>
    </w:p>
    <w:p>
      <w:pPr>
        <w:numPr>
          <w:ilvl w:val="0"/>
          <w:numId w:val="1010"/>
        </w:numPr>
        <w:pStyle w:val="Compact"/>
      </w:pPr>
      <w:r>
        <w:rPr>
          <w:bCs/>
          <w:b/>
        </w:rPr>
        <w:t xml:space="preserve">Inbound Transport (Materials from Europe to China):</w:t>
      </w:r>
    </w:p>
    <w:p>
      <w:pPr>
        <w:numPr>
          <w:ilvl w:val="1"/>
          <w:numId w:val="1011"/>
        </w:numPr>
        <w:pStyle w:val="Compact"/>
      </w:pPr>
      <w:r>
        <w:t xml:space="preserve">Mass: 1 kg/unit (assumed product mass for transport)</w:t>
      </w:r>
    </w:p>
    <w:p>
      <w:pPr>
        <w:numPr>
          <w:ilvl w:val="1"/>
          <w:numId w:val="1011"/>
        </w:numPr>
        <w:pStyle w:val="Compact"/>
      </w:pPr>
      <w:r>
        <w:t xml:space="preserve">Ocean Freight: 1 kg * 8000 km * 0.016 kgCO2e/tonne-km / 1000 (kg to tonne) = 0.128 kgCO2e</w:t>
      </w:r>
    </w:p>
    <w:p>
      <w:pPr>
        <w:numPr>
          <w:ilvl w:val="1"/>
          <w:numId w:val="1011"/>
        </w:numPr>
        <w:pStyle w:val="Compact"/>
      </w:pPr>
      <w:r>
        <w:t xml:space="preserve">Road Freight: 1 kg * 500 km * 0.08 kgCO2e/tonne-km / 1000 (kg to tonne) = 0.040 kgCO2e</w:t>
      </w:r>
    </w:p>
    <w:p>
      <w:pPr>
        <w:numPr>
          <w:ilvl w:val="1"/>
          <w:numId w:val="1011"/>
        </w:numPr>
        <w:pStyle w:val="Compact"/>
      </w:pPr>
      <w:r>
        <w:t xml:space="preserve">Sub-total Inbound: 0.128 + 0.040 = 0.168 kgCO2e</w:t>
      </w:r>
    </w:p>
    <w:p>
      <w:pPr>
        <w:numPr>
          <w:ilvl w:val="0"/>
          <w:numId w:val="1010"/>
        </w:numPr>
        <w:pStyle w:val="Compact"/>
      </w:pPr>
      <w:r>
        <w:rPr>
          <w:bCs/>
          <w:b/>
        </w:rPr>
        <w:t xml:space="preserve">Outbound Transport (Finished Product from China to Europe):</w:t>
      </w:r>
    </w:p>
    <w:p>
      <w:pPr>
        <w:numPr>
          <w:ilvl w:val="1"/>
          <w:numId w:val="1012"/>
        </w:numPr>
        <w:pStyle w:val="Compact"/>
      </w:pPr>
      <w:r>
        <w:t xml:space="preserve">Mass: 1 kg/unit</w:t>
      </w:r>
    </w:p>
    <w:p>
      <w:pPr>
        <w:numPr>
          <w:ilvl w:val="1"/>
          <w:numId w:val="1012"/>
        </w:numPr>
        <w:pStyle w:val="Compact"/>
      </w:pPr>
      <w:r>
        <w:t xml:space="preserve">Ocean Freight: 1 kg * 10000 km * 0.016 kgCO2e/tonne-km / 1000 = 0.160 kgCO2e</w:t>
      </w:r>
    </w:p>
    <w:p>
      <w:pPr>
        <w:numPr>
          <w:ilvl w:val="1"/>
          <w:numId w:val="1012"/>
        </w:numPr>
        <w:pStyle w:val="Compact"/>
      </w:pPr>
      <w:r>
        <w:t xml:space="preserve">Road Freight: 1 kg * 500 km * 0.08 kgCO2e/tonne-km / 1000 = 0.040 kgCO2e</w:t>
      </w:r>
    </w:p>
    <w:p>
      <w:pPr>
        <w:numPr>
          <w:ilvl w:val="1"/>
          <w:numId w:val="1012"/>
        </w:numPr>
        <w:pStyle w:val="Compact"/>
      </w:pPr>
      <w:r>
        <w:t xml:space="preserve">Sub-total Outbound: 0.160 + 0.040 = 0.200 kgCO2e</w:t>
      </w:r>
    </w:p>
    <w:p>
      <w:pPr>
        <w:numPr>
          <w:ilvl w:val="0"/>
          <w:numId w:val="1010"/>
        </w:numPr>
        <w:pStyle w:val="Compact"/>
      </w:pPr>
      <w:r>
        <w:rPr>
          <w:bCs/>
          <w:b/>
        </w:rPr>
        <w:t xml:space="preserve">Last-Mile Delivery (within Europe):</w:t>
      </w:r>
    </w:p>
    <w:p>
      <w:pPr>
        <w:numPr>
          <w:ilvl w:val="1"/>
          <w:numId w:val="1013"/>
        </w:numPr>
        <w:pStyle w:val="Compact"/>
      </w:pPr>
      <w:r>
        <w:t xml:space="preserve">Mass: 1 kg/unit</w:t>
      </w:r>
    </w:p>
    <w:p>
      <w:pPr>
        <w:numPr>
          <w:ilvl w:val="1"/>
          <w:numId w:val="1013"/>
        </w:numPr>
        <w:pStyle w:val="Compact"/>
      </w:pPr>
      <w:r>
        <w:t xml:space="preserve">Road (Light Commercial Van): 1 kg * 100 km * 0.15 kgCO2e/tonne-km / 1000 = 0.015 kgCO2e</w:t>
      </w:r>
    </w:p>
    <w:p>
      <w:pPr>
        <w:numPr>
          <w:ilvl w:val="0"/>
          <w:numId w:val="1010"/>
        </w:numPr>
        <w:pStyle w:val="Compact"/>
      </w:pPr>
      <w:r>
        <w:rPr>
          <w:bCs/>
          <w:b/>
        </w:rPr>
        <w:t xml:space="preserve">Total Scope 3 - Upstream &amp; Downstream Transport Emissions:</w:t>
      </w:r>
      <w:r>
        <w:t xml:space="preserve"> </w:t>
      </w:r>
      <w:r>
        <w:t xml:space="preserve">0.168 + 0.200 + 0.015 = 0.383 kgCO2e</w:t>
      </w:r>
    </w:p>
    <w:bookmarkEnd w:id="34"/>
    <w:bookmarkStart w:id="35" w:name="category-11-use-of-sold-products"/>
    <w:p>
      <w:pPr>
        <w:pStyle w:val="Heading5"/>
      </w:pPr>
      <w:r>
        <w:t xml:space="preserve">Category 11: Use of Sold Products</w:t>
      </w:r>
    </w:p>
    <w:p>
      <w:pPr>
        <w:pStyle w:val="FirstParagraph"/>
      </w:pPr>
      <w:r>
        <w:t xml:space="preserve">Emissions from the energy consumption during the product\'s lifespan.</w:t>
      </w:r>
    </w:p>
    <w:p>
      <w:pPr>
        <w:numPr>
          <w:ilvl w:val="0"/>
          <w:numId w:val="1014"/>
        </w:numPr>
        <w:pStyle w:val="Compact"/>
      </w:pPr>
      <w:r>
        <w:t xml:space="preserve">Total energy consumption in use: 60 kWh (over 5 years)</w:t>
      </w:r>
    </w:p>
    <w:p>
      <w:pPr>
        <w:numPr>
          <w:ilvl w:val="0"/>
          <w:numId w:val="1014"/>
        </w:numPr>
        <w:pStyle w:val="Compact"/>
      </w:pPr>
      <w:r>
        <w:t xml:space="preserve">Emission Factor (European grid): 0.28 kgCO2e/kWh (assuming typical user location in Europe)</w:t>
      </w:r>
    </w:p>
    <w:p>
      <w:pPr>
        <w:numPr>
          <w:ilvl w:val="0"/>
          <w:numId w:val="1014"/>
        </w:numPr>
        <w:pStyle w:val="Compact"/>
      </w:pPr>
      <w:r>
        <w:t xml:space="preserve">Emissions: 60 kWh * 0.28 kgCO2e/kWh = 16.80 kgCO2e</w:t>
      </w:r>
    </w:p>
    <w:p>
      <w:pPr>
        <w:numPr>
          <w:ilvl w:val="0"/>
          <w:numId w:val="1014"/>
        </w:numPr>
        <w:pStyle w:val="Compact"/>
      </w:pPr>
      <w:r>
        <w:rPr>
          <w:bCs/>
          <w:b/>
        </w:rPr>
        <w:t xml:space="preserve">Total Scope 3 - Use Phase Emissions: 16.80 kgCO2e</w:t>
      </w:r>
    </w:p>
    <w:bookmarkEnd w:id="35"/>
    <w:bookmarkStart w:id="36" w:name="X9f66eef2700632e081dfe139021cb724ffcd2c5"/>
    <w:p>
      <w:pPr>
        <w:pStyle w:val="Heading5"/>
      </w:pPr>
      <w:r>
        <w:t xml:space="preserve">Category 12: End-of-Life Treatment of Sold Products</w:t>
      </w:r>
    </w:p>
    <w:p>
      <w:pPr>
        <w:pStyle w:val="FirstParagraph"/>
      </w:pPr>
      <w:r>
        <w:t xml:space="preserve">Emissions from disposal and credits from recycling.</w:t>
      </w:r>
    </w:p>
    <w:p>
      <w:pPr>
        <w:numPr>
          <w:ilvl w:val="0"/>
          <w:numId w:val="1015"/>
        </w:numPr>
        <w:pStyle w:val="Compact"/>
      </w:pPr>
      <w:r>
        <w:t xml:space="preserve">Product mass for EoL: 1 kg/unit</w:t>
      </w:r>
    </w:p>
    <w:p>
      <w:pPr>
        <w:numPr>
          <w:ilvl w:val="0"/>
          <w:numId w:val="1015"/>
        </w:numPr>
        <w:pStyle w:val="Compact"/>
      </w:pPr>
      <w:r>
        <w:t xml:space="preserve">Recycled portion: 1 kg * 0.70 = 0.70 kg</w:t>
      </w:r>
    </w:p>
    <w:p>
      <w:pPr>
        <w:numPr>
          <w:ilvl w:val="0"/>
          <w:numId w:val="1015"/>
        </w:numPr>
        <w:pStyle w:val="Compact"/>
      </w:pPr>
      <w:r>
        <w:t xml:space="preserve">Disposed portion: 1 kg * (1 - 0.70) = 0.30 kg</w:t>
      </w:r>
    </w:p>
    <w:p>
      <w:pPr>
        <w:numPr>
          <w:ilvl w:val="0"/>
          <w:numId w:val="1015"/>
        </w:numPr>
        <w:pStyle w:val="Compact"/>
      </w:pPr>
      <w:r>
        <w:t xml:space="preserve">Emissions from Disposal: 0.30 kg * 1.0 kgCO2e/kg = 0.30 kgCO2e</w:t>
      </w:r>
    </w:p>
    <w:p>
      <w:pPr>
        <w:numPr>
          <w:ilvl w:val="0"/>
          <w:numId w:val="1015"/>
        </w:numPr>
        <w:pStyle w:val="Compact"/>
      </w:pPr>
      <w:r>
        <w:t xml:space="preserve">Recycling Credit: 0.70 kg * -0.5 kgCO2e/kg = -0.35 kgCO2e</w:t>
      </w:r>
    </w:p>
    <w:p>
      <w:pPr>
        <w:numPr>
          <w:ilvl w:val="0"/>
          <w:numId w:val="1015"/>
        </w:numPr>
        <w:pStyle w:val="Compact"/>
      </w:pPr>
      <w:r>
        <w:t xml:space="preserve">Impact of Circular/Take-back Programs: 10% avoided EoL emissions. This applies to the *net* EoL emissions before considering the program credit. Let\'s apply it to the gross EoL emissions (disposal only) for simplicity in this illustrative example: 0.30 kgCO2e * 0.10 = 0.03 kgCO2e reduction.</w:t>
      </w:r>
    </w:p>
    <w:p>
      <w:pPr>
        <w:numPr>
          <w:ilvl w:val="0"/>
          <w:numId w:val="1015"/>
        </w:numPr>
        <w:pStyle w:val="Compact"/>
      </w:pPr>
      <w:r>
        <w:t xml:space="preserve">Net EoL Emissions: 0.30 kgCO2e - 0.35 kgCO2e - 0.03 kgCO2e = -0.08 kgCO2e (Net credit)</w:t>
      </w:r>
    </w:p>
    <w:p>
      <w:pPr>
        <w:numPr>
          <w:ilvl w:val="0"/>
          <w:numId w:val="1015"/>
        </w:numPr>
        <w:pStyle w:val="Compact"/>
      </w:pPr>
      <w:r>
        <w:rPr>
          <w:bCs/>
          <w:b/>
        </w:rPr>
        <w:t xml:space="preserve">Total Scope 3 - End-of-Life Emissions: -0.08 kgCO2e</w:t>
      </w:r>
    </w:p>
    <w:bookmarkEnd w:id="36"/>
    <w:bookmarkEnd w:id="37"/>
    <w:bookmarkEnd w:id="38"/>
    <w:bookmarkStart w:id="39" w:name="summary-of-product-carbon-footprint"/>
    <w:p>
      <w:pPr>
        <w:pStyle w:val="Heading3"/>
      </w:pPr>
      <w:r>
        <w:t xml:space="preserve">Summary of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0.64</w:t>
            </w:r>
          </w:p>
        </w:tc>
      </w:tr>
      <w:tr>
        <w:tc>
          <w:tcPr>
            <w:gridSpan w:val="2"/>
          </w:tcPr>
          <w:p>
            <w:pPr>
              <w:pStyle w:val="Compact"/>
              <w:jc w:val="left"/>
            </w:pPr>
            <w:r>
              <w:rPr>
                <w:bCs/>
                <w:b/>
              </w:rPr>
              <w:t xml:space="preserve">Scope 3: Value Chain Emissions</w:t>
            </w:r>
          </w:p>
        </w:tc>
      </w:tr>
      <w:tr>
        <w:tc>
          <w:tcPr/>
          <w:p>
            <w:pPr>
              <w:pStyle w:val="Compact"/>
              <w:jc w:val="left"/>
            </w:pPr>
            <w:r>
              <w:t xml:space="preserve">    Category 1: Purchased Goods and Services</w:t>
            </w:r>
          </w:p>
        </w:tc>
        <w:tc>
          <w:tcPr/>
          <w:p>
            <w:pPr>
              <w:pStyle w:val="Compact"/>
              <w:jc w:val="left"/>
            </w:pPr>
            <w:r>
              <w:t xml:space="preserve">7.23</w:t>
            </w:r>
          </w:p>
        </w:tc>
      </w:tr>
      <w:tr>
        <w:tc>
          <w:tcPr/>
          <w:p>
            <w:pPr>
              <w:pStyle w:val="Compact"/>
              <w:jc w:val="left"/>
            </w:pPr>
            <w:r>
              <w:t xml:space="preserve">    Category 4: Upstream &amp; Downstream Transportation</w:t>
            </w:r>
          </w:p>
        </w:tc>
        <w:tc>
          <w:tcPr/>
          <w:p>
            <w:pPr>
              <w:pStyle w:val="Compact"/>
              <w:jc w:val="left"/>
            </w:pPr>
            <w:r>
              <w:t xml:space="preserve">0.38</w:t>
            </w:r>
          </w:p>
        </w:tc>
      </w:tr>
      <w:tr>
        <w:tc>
          <w:tcPr/>
          <w:p>
            <w:pPr>
              <w:pStyle w:val="Compact"/>
              <w:jc w:val="left"/>
            </w:pPr>
            <w:r>
              <w:t xml:space="preserve">    Category 11: Use of Sold Products</w:t>
            </w:r>
          </w:p>
        </w:tc>
        <w:tc>
          <w:tcPr/>
          <w:p>
            <w:pPr>
              <w:pStyle w:val="Compact"/>
              <w:jc w:val="left"/>
            </w:pPr>
            <w:r>
              <w:t xml:space="preserve">16.80</w:t>
            </w:r>
          </w:p>
        </w:tc>
      </w:tr>
      <w:tr>
        <w:tc>
          <w:tcPr/>
          <w:p>
            <w:pPr>
              <w:pStyle w:val="Compact"/>
              <w:jc w:val="left"/>
            </w:pPr>
            <w:r>
              <w:t xml:space="preserve">    Category 12: End-of-Life Treatment of Sold Products</w:t>
            </w:r>
          </w:p>
        </w:tc>
        <w:tc>
          <w:tcPr/>
          <w:p>
            <w:pPr>
              <w:pStyle w:val="Compact"/>
              <w:jc w:val="left"/>
            </w:pPr>
            <w:r>
              <w:t xml:space="preserve">-0.08</w:t>
            </w:r>
          </w:p>
        </w:tc>
      </w:tr>
      <w:tr>
        <w:tc>
          <w:tcPr/>
          <w:p>
            <w:pPr>
              <w:pStyle w:val="Compact"/>
              <w:jc w:val="left"/>
            </w:pPr>
            <w:r>
              <w:rPr>
                <w:bCs/>
                <w:b/>
              </w:rPr>
              <w:t xml:space="preserve">Total Product Carbon Footprint (PCF)</w:t>
            </w:r>
          </w:p>
        </w:tc>
        <w:tc>
          <w:tcPr/>
          <w:p>
            <w:pPr>
              <w:pStyle w:val="Compact"/>
              <w:jc w:val="left"/>
            </w:pPr>
            <w:r>
              <w:rPr>
                <w:bCs/>
                <w:b/>
              </w:rPr>
              <w:t xml:space="preserve">24.97 kgCO2e</w:t>
            </w:r>
          </w:p>
        </w:tc>
      </w:tr>
    </w:tbl>
    <w:bookmarkEnd w:id="39"/>
    <w:bookmarkStart w:id="40" w:name="lsr-update-application"/>
    <w:p>
      <w:pPr>
        <w:pStyle w:val="Heading3"/>
      </w:pPr>
      <w:r>
        <w:t xml:space="preserve">4.3. 2026 LSR Update Application</w:t>
      </w:r>
    </w:p>
    <w:p>
      <w:pPr>
        <w:pStyle w:val="FirstParagraph"/>
      </w:pPr>
      <w:r>
        <w:t xml:space="preserve">The GHG Protocol\'s Land Sector and Removals (LSR) Standard, released on January 30, 2026, and taking effect on January 1, 2027, provides specific accounting requirements for land-based emissions and CO₂ removals. While this product (exwtmnrimi) does not have direct land-use change impacts in its immediate manufacturing process, the LSR Standard is crucial for upstream raw material suppliers, especially those dealing with bio-based materials or processes involving land-intensive operations (e.g., mining, agriculture for feedstock). For a comprehensive assessment in future reports, grrivzddyo should engage its supply chain to gather data on land management and land use change emissions from relevant material suppliers, as per the LSR guidance which is expected in Q2 2026.</w:t>
      </w:r>
    </w:p>
    <w:bookmarkEnd w:id="40"/>
    <w:bookmarkStart w:id="41" w:name="scope-3-compliance-2026-requirements"/>
    <w:p>
      <w:pPr>
        <w:pStyle w:val="Heading3"/>
      </w:pPr>
      <w:r>
        <w:t xml:space="preserve">4.4. Scope 3 Compliance (2026 Requirements)</w:t>
      </w:r>
    </w:p>
    <w:p>
      <w:pPr>
        <w:pStyle w:val="FirstParagraph"/>
      </w:pPr>
      <w:r>
        <w:t xml:space="preserve">The GHG Protocol\'s March 2026 progress update for its Scope 3 Standard indicates a proposed requirement for at least 95% coverage of total *required* Scope 3 emissions. This analysis has strived for comprehensive coverage of relevant Scope 3 categories (Purchased Goods &amp; Services, Transportation, Use of Sold Products, End-of-Life) based on the provided parameters. While the exact 95% threshold verification would require a detailed spend-based and activity-based analysis across all 15 Scope 3 categories, the methodology employed here covers the most significant known contributors to the product\'s footprint, reflecting a strong commitment to the forthcoming compliance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calculations, the primary emission hotspots for exwtmnrimi are:</w:t>
      </w:r>
    </w:p>
    <w:p>
      <w:pPr>
        <w:numPr>
          <w:ilvl w:val="0"/>
          <w:numId w:val="1016"/>
        </w:numPr>
        <w:pStyle w:val="Compact"/>
      </w:pPr>
      <w:r>
        <w:rPr>
          <w:bCs/>
          <w:b/>
        </w:rPr>
        <w:t xml:space="preserve">Use of Sold Products (16.80 kgCO2e):</w:t>
      </w:r>
      <w:r>
        <w:t xml:space="preserve"> </w:t>
      </w:r>
      <w:r>
        <w:t xml:space="preserve">This is the most significant hotspot, primarily due to the energy consumed over the product\'s 5-year lifespan. This highlights the importance of energy efficiency during the use phase.</w:t>
      </w:r>
    </w:p>
    <w:p>
      <w:pPr>
        <w:numPr>
          <w:ilvl w:val="0"/>
          <w:numId w:val="1016"/>
        </w:numPr>
        <w:pStyle w:val="Compact"/>
      </w:pPr>
      <w:r>
        <w:rPr>
          <w:bCs/>
          <w:b/>
        </w:rPr>
        <w:t xml:space="preserve">Purchased Goods and Services (7.23 kgCO2e):</w:t>
      </w:r>
      <w:r>
        <w:t xml:space="preserve"> </w:t>
      </w:r>
      <w:r>
        <w:t xml:space="preserve">Material acquisition and processing, particularly for components like the Aluminum Casing and Lithium-ion Battery, contribute substantially to the footprint.</w:t>
      </w:r>
    </w:p>
    <w:p>
      <w:pPr>
        <w:numPr>
          <w:ilvl w:val="0"/>
          <w:numId w:val="1016"/>
        </w:numPr>
        <w:pStyle w:val="Compact"/>
      </w:pPr>
      <w:r>
        <w:rPr>
          <w:bCs/>
          <w:b/>
        </w:rPr>
        <w:t xml:space="preserve">Purchased Electricity (0.64 kgCO2e):</w:t>
      </w:r>
      <w:r>
        <w:t xml:space="preserve"> </w:t>
      </w:r>
      <w:r>
        <w:t xml:space="preserve">While lower than the above, the emissions from non-renewable electricity used in manufacturing are still a notable area. The 60% renewable energy usage (`sfsgqwlpsy`) already mitigates this significantly.</w:t>
      </w:r>
    </w:p>
    <w:bookmarkEnd w:id="43"/>
    <w:bookmarkStart w:id="44" w:name="reliability-statement"/>
    <w:p>
      <w:pPr>
        <w:pStyle w:val="Heading3"/>
      </w:pPr>
      <w:r>
        <w:t xml:space="preserve">5.2. Reliability Statement</w:t>
      </w:r>
    </w:p>
    <w:p>
      <w:pPr>
        <w:pStyle w:val="FirstParagraph"/>
      </w:pPr>
      <w:r>
        <w:t xml:space="preserve">This report provides a high-level PCF analysis based on the detailed parameters and methodologies specified. The reliability of the results is dependent on the accuracy of the input data (both provided and assumed placeholder values) and the appropriateness of the chosen emission factors. While industry-average emission factors are utilized, primary data from specific suppliers for all components and logistics would further enhance accuracy. The assumptions made for placeholder parameters are clearly stated and are intended to be representative.</w:t>
      </w:r>
    </w:p>
    <w:bookmarkEnd w:id="44"/>
    <w:bookmarkStart w:id="45" w:name="recommendations-for-emission-reduction"/>
    <w:p>
      <w:pPr>
        <w:pStyle w:val="Heading3"/>
      </w:pPr>
      <w:r>
        <w:t xml:space="preserve">5.3. Recommendations for Emission Reduction</w:t>
      </w:r>
    </w:p>
    <w:p>
      <w:pPr>
        <w:numPr>
          <w:ilvl w:val="0"/>
          <w:numId w:val="1017"/>
        </w:numPr>
        <w:pStyle w:val="Compact"/>
      </w:pPr>
      <w:r>
        <w:rPr>
          <w:bCs/>
          <w:b/>
        </w:rPr>
        <w:t xml:space="preserve">Optimize Use Phase Energy Efficiency:</w:t>
      </w:r>
      <w:r>
        <w:t xml:space="preserve"> </w:t>
      </w:r>
      <w:r>
        <w:t xml:space="preserve">Focus on reducing the energy consumption of exwtmnrimi during its operational lifespan. This could involve design changes, user behavior guidelines, or integration with smart energy systems.</w:t>
      </w:r>
    </w:p>
    <w:p>
      <w:pPr>
        <w:numPr>
          <w:ilvl w:val="0"/>
          <w:numId w:val="1017"/>
        </w:numPr>
        <w:pStyle w:val="Compact"/>
      </w:pPr>
      <w:r>
        <w:rPr>
          <w:bCs/>
          <w:b/>
        </w:rPr>
        <w:t xml:space="preserve">Source Low-Carbon Materials:</w:t>
      </w:r>
      <w:r>
        <w:t xml:space="preserve"> </w:t>
      </w:r>
      <w:r>
        <w:t xml:space="preserve">Explore suppliers for materials like aluminum and plastics with lower embodied carbon footprints, perhaps through increased recycled content or renewable energy in their production processes.</w:t>
      </w:r>
    </w:p>
    <w:p>
      <w:pPr>
        <w:numPr>
          <w:ilvl w:val="0"/>
          <w:numId w:val="1017"/>
        </w:numPr>
        <w:pStyle w:val="Compact"/>
      </w:pPr>
      <w:r>
        <w:rPr>
          <w:bCs/>
          <w:b/>
        </w:rPr>
        <w:t xml:space="preserve">Enhance Renewable Energy Procurement:</w:t>
      </w:r>
      <w:r>
        <w:t xml:space="preserve"> </w:t>
      </w:r>
      <w:r>
        <w:t xml:space="preserve">While 60% renewable energy is commendable, increasing this percentage for the manufacturing facility in China could further reduce Scope 2 emissions.</w:t>
      </w:r>
    </w:p>
    <w:p>
      <w:pPr>
        <w:numPr>
          <w:ilvl w:val="0"/>
          <w:numId w:val="1017"/>
        </w:numPr>
        <w:pStyle w:val="Compact"/>
      </w:pPr>
      <w:r>
        <w:rPr>
          <w:bCs/>
          <w:b/>
        </w:rPr>
        <w:t xml:space="preserve">Optimize Logistics:</w:t>
      </w:r>
      <w:r>
        <w:t xml:space="preserve"> </w:t>
      </w:r>
      <w:r>
        <w:t xml:space="preserve">Continuously review transport modes and routes to minimize distances and utilize the most carbon-efficient options available.</w:t>
      </w:r>
    </w:p>
    <w:p>
      <w:pPr>
        <w:numPr>
          <w:ilvl w:val="0"/>
          <w:numId w:val="1017"/>
        </w:numPr>
        <w:pStyle w:val="Compact"/>
      </w:pPr>
      <w:r>
        <w:rPr>
          <w:bCs/>
          <w:b/>
        </w:rPr>
        <w:t xml:space="preserve">Strengthen Circularity:</w:t>
      </w:r>
      <w:r>
        <w:t xml:space="preserve"> </w:t>
      </w:r>
      <w:r>
        <w:t xml:space="preserve">Continue to develop and expand circular/take-back programs, ensuring a high recyclability percentage and exploring opportunities for material reuse to maximize end-of-life benefits.</w:t>
      </w:r>
    </w:p>
    <w:p>
      <w:pPr>
        <w:numPr>
          <w:ilvl w:val="0"/>
          <w:numId w:val="1017"/>
        </w:numPr>
        <w:pStyle w:val="Compact"/>
      </w:pPr>
      <w:r>
        <w:rPr>
          <w:bCs/>
          <w:b/>
        </w:rPr>
        <w:t xml:space="preserve">Engage Supply Chain for Data:</w:t>
      </w:r>
      <w:r>
        <w:t xml:space="preserve"> </w:t>
      </w:r>
      <w:r>
        <w:t xml:space="preserve">In preparation for 2026 GHG Protocol requirements, actively engage tier 1 and 2 suppliers to gather more primary data for Scope 3 emissions, particularly concerning material production and their land use impacts (LSR Standard).</w: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exwtmnrimi</dc:title>
  <dc:creator/>
  <dc:description>High-detail Product Carbon Footprint (PCF) analysis for exwtmnrimi, conducted by grrivzddyo consultant igxexwjmqx, adhering to GHG Protocol and 2026 LSR Update.</dc:description>
  <dc:language>en</dc:language>
  <cp:keywords/>
  <dcterms:created xsi:type="dcterms:W3CDTF">2026-05-30T20:09:57Z</dcterms:created>
  <dcterms:modified xsi:type="dcterms:W3CDTF">2026-05-30T20:09:57Z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