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exnvnuyqsi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exnvnuyqsi</w:t>
      </w:r>
    </w:p>
    <w:p>
      <w:pPr>
        <w:pStyle w:val="BodyText"/>
      </w:pPr>
      <w:r>
        <w:rPr>
          <w:bCs/>
          <w:b/>
        </w:rPr>
        <w:t xml:space="preserve">Company Name:</w:t>
      </w:r>
      <w:r>
        <w:t xml:space="preserve"> </w:t>
      </w:r>
      <w:r>
        <w:t xml:space="preserve">yeodddxqou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grxzxpzfve</w:t>
      </w:r>
    </w:p>
    <w:p>
      <w:pPr>
        <w:pStyle w:val="BodyText"/>
      </w:pPr>
      <w:r>
        <w:rPr>
          <w:bCs/>
          <w:b/>
        </w:rPr>
        <w:t xml:space="preserve">Disclaimer:</w:t>
      </w:r>
      <w:r>
        <w:t xml:space="preserve"> </w:t>
      </w:r>
      <w:r>
        <w:t xml:space="preserve">This report is generated based on available data and industry standards, including specific parameters provided by the user. While efforts have been made to ensure accuracy and compliance with the GHG Protocol, results are subject to the quality and completeness of underlying data and assumptions made for generic placeholders.</w:t>
      </w:r>
    </w:p>
    <w:bookmarkEnd w:id="20"/>
    <w:p>
      <w:pPr>
        <w:pStyle w:val="BodyText"/>
      </w:pPr>
      <w:r>
        <w:t xml:space="preserve">Product Carbon Footprint Report - exnvnuyqsi | Generated Date: May 18, 2026</w:t>
      </w:r>
    </w:p>
    <w:bookmarkStart w:id="44" w:name="executive-summary"/>
    <w:p>
      <w:pPr>
        <w:pStyle w:val="Heading1"/>
      </w:pPr>
      <w:r>
        <w:t xml:space="preserve">Executive Summary</w:t>
      </w:r>
    </w:p>
    <w:p>
      <w:pPr>
        <w:pStyle w:val="FirstParagraph"/>
      </w:pPr>
      <w:r>
        <w:t xml:space="preserve">This Product Carbon Footprint (PCF) analysis, conducted by grxzxpzfve, Senior Sustainability Consultant for yeodddxqou, evaluates the greenhouse gas (GHG) emissions associated with the entire lifecycle of the product exnvnuyqsi. Adhering strictly to the GHG Protocol and incorporating the 2026 Land Sector and Removals (LSR) Standard update, this report provides a high-detail assessment from raw material extraction to end-of-life. The total carbon footprint for one functional unit of exnvnuyqsi is calculated to be</w:t>
      </w:r>
      <w:r>
        <w:t xml:space="preserve"> </w:t>
      </w:r>
      <w:r>
        <w:rPr>
          <w:bCs/>
          <w:b/>
        </w:rPr>
        <w:t xml:space="preserve">27.884 kg CO2e</w:t>
      </w:r>
      <w:r>
        <w:t xml:space="preserve">. The use phase and material acquisition are identified as significant hotspots, while circular economy initiatives show a net positive impact at end-of-life. This analysis provides actionable insights for decarbonization efforts and supports yeodddxqou\'s commitment to sustainability.</w:t>
      </w:r>
    </w:p>
    <w:p>
      <w:r>
        <w:pict>
          <v:rect style="width:0;height:1.5pt" o:hralign="center" o:hrstd="t" o:hr="t"/>
        </w:pict>
      </w:r>
    </w:p>
    <w:bookmarkStart w:id="26" w:name="introduction-and-scope-definition"/>
    <w:p>
      <w:pPr>
        <w:pStyle w:val="Heading2"/>
      </w:pPr>
      <w:r>
        <w:t xml:space="preserve">1. Introduction and Scope Definition</w:t>
      </w:r>
    </w:p>
    <w:p>
      <w:pPr>
        <w:pStyle w:val="FirstParagraph"/>
      </w:pPr>
      <w:r>
        <w:t xml:space="preserve">This Product Carbon Footprint (PCF) report quantifies the greenhouse gas (GHG) emissions of the product exnvnuyqsi based on the globally recognized GHG Protocol standards. The analysis follows a cradle-to-grave approach, encompassing all relevant lifecycle stages.</w:t>
      </w:r>
    </w:p>
    <w:bookmarkStart w:id="21"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exnvnuyqsi</w:t>
      </w:r>
      <w:r>
        <w:t xml:space="preserve">.</w:t>
      </w:r>
    </w:p>
    <w:bookmarkEnd w:id="21"/>
    <w:bookmarkStart w:id="22" w:name="system-boundary"/>
    <w:p>
      <w:pPr>
        <w:pStyle w:val="Heading3"/>
      </w:pPr>
      <w:r>
        <w:t xml:space="preserve">1.2. System Boundary</w:t>
      </w:r>
    </w:p>
    <w:p>
      <w:pPr>
        <w:pStyle w:val="FirstParagraph"/>
      </w:pPr>
      <w:r>
        <w:t xml:space="preserve">The system boundary is set as</w:t>
      </w:r>
      <w:r>
        <w:t xml:space="preserve"> </w:t>
      </w:r>
      <w:r>
        <w:rPr>
          <w:bCs/>
          <w:b/>
        </w:rPr>
        <w:t xml:space="preserve">factory_gate</w:t>
      </w:r>
      <w:r>
        <w:t xml:space="preserve"> </w:t>
      </w:r>
      <w:r>
        <w:t xml:space="preserve">for the immediate production, extending to a "cradle-to-grave" assessment covering:</w:t>
      </w:r>
    </w:p>
    <w:p>
      <w:pPr>
        <w:numPr>
          <w:ilvl w:val="0"/>
          <w:numId w:val="1001"/>
        </w:numPr>
        <w:pStyle w:val="Compact"/>
      </w:pPr>
      <w:r>
        <w:t xml:space="preserve">Raw material acquisition and pre-processing</w:t>
      </w:r>
    </w:p>
    <w:p>
      <w:pPr>
        <w:numPr>
          <w:ilvl w:val="0"/>
          <w:numId w:val="1001"/>
        </w:numPr>
        <w:pStyle w:val="Compact"/>
      </w:pPr>
      <w:r>
        <w:t xml:space="preserve">Manufacturing and production</w:t>
      </w:r>
    </w:p>
    <w:p>
      <w:pPr>
        <w:numPr>
          <w:ilvl w:val="0"/>
          <w:numId w:val="1001"/>
        </w:numPr>
        <w:pStyle w:val="Compact"/>
      </w:pPr>
      <w:r>
        <w:t xml:space="preserve">Transportation (inbound, outbound, and last-mile)</w:t>
      </w:r>
    </w:p>
    <w:p>
      <w:pPr>
        <w:numPr>
          <w:ilvl w:val="0"/>
          <w:numId w:val="1001"/>
        </w:numPr>
        <w:pStyle w:val="Compact"/>
      </w:pPr>
      <w:r>
        <w:t xml:space="preserve">Use phase</w:t>
      </w:r>
    </w:p>
    <w:p>
      <w:pPr>
        <w:numPr>
          <w:ilvl w:val="0"/>
          <w:numId w:val="1001"/>
        </w:numPr>
        <w:pStyle w:val="Compact"/>
      </w:pPr>
      <w:r>
        <w:t xml:space="preserve">End-of-life treatment and disposal</w:t>
      </w:r>
    </w:p>
    <w:bookmarkEnd w:id="22"/>
    <w:bookmarkStart w:id="23"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particularly for the distribution and use phases.</w:t>
      </w:r>
    </w:p>
    <w:bookmarkEnd w:id="23"/>
    <w:bookmarkStart w:id="24"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categorizing emissions into Scope 1 (direct emissions), Scope 2 (indirect emissions from purchased energy), and Scope 3 (all other indirect emissions in the value chain). The analysis also considers the requirements of the 2026 Land Sector and Removals (LSR) Standard, acknowledging that explicit land use change data for specific raw materials were not provided, and thus their impacts are implicitly included within the material emission factors. Furthermore, efforts have been made to ensure at least 95% coverage for Scope 3 reporting, as per 2026 requirements, by including all material upstream and downstream categories.</w:t>
      </w:r>
    </w:p>
    <w:bookmarkEnd w:id="24"/>
    <w:bookmarkStart w:id="25" w:name="allocation"/>
    <w:p>
      <w:pPr>
        <w:pStyle w:val="Heading3"/>
      </w:pPr>
      <w:r>
        <w:t xml:space="preserve">1.5. Allocation</w:t>
      </w:r>
    </w:p>
    <w:p>
      <w:pPr>
        <w:pStyle w:val="FirstParagraph"/>
      </w:pPr>
      <w:r>
        <w:t xml:space="preserve">For this single product PCF, direct allocation is applied. No co-products or by-products requiring complex allocation rules are considered based on the provided parameters.</w:t>
      </w:r>
    </w:p>
    <w:p>
      <w:r>
        <w:pict>
          <v:rect style="width:0;height:1.5pt" o:hralign="center" o:hrstd="t" o:hr="t"/>
        </w:pict>
      </w:r>
    </w:p>
    <w:bookmarkEnd w:id="25"/>
    <w:bookmarkEnd w:id="26"/>
    <w:bookmarkStart w:id="27" w:name="lifecycle-mapping-lci-inventory-stages"/>
    <w:p>
      <w:pPr>
        <w:pStyle w:val="Heading2"/>
      </w:pPr>
      <w:r>
        <w:t xml:space="preserve">2. Lifecycle Mapping (LCI Inventory Stages)</w:t>
      </w:r>
    </w:p>
    <w:p>
      <w:pPr>
        <w:pStyle w:val="FirstParagraph"/>
      </w:pPr>
      <w:r>
        <w:t xml:space="preserve">The lifecycle of exnvnuyqsi is mapped across five distinct stages, for which inventory data are collected and emissions calculated:</w:t>
      </w:r>
    </w:p>
    <w:p>
      <w:pPr>
        <w:numPr>
          <w:ilvl w:val="0"/>
          <w:numId w:val="1002"/>
        </w:numPr>
        <w:pStyle w:val="Compact"/>
      </w:pPr>
      <w:r>
        <w:rPr>
          <w:bCs/>
          <w:b/>
        </w:rPr>
        <w:t xml:space="preserve">Materials Acquisition &amp; Pre-processing:</w:t>
      </w:r>
      <w:r>
        <w:t xml:space="preserve"> </w:t>
      </w:r>
      <w:r>
        <w:t xml:space="preserve">Covers the extraction, cultivation, and initial processing of all raw materials and components listed in the Bill of Materials (BOM).</w:t>
      </w:r>
    </w:p>
    <w:p>
      <w:pPr>
        <w:numPr>
          <w:ilvl w:val="0"/>
          <w:numId w:val="1002"/>
        </w:numPr>
        <w:pStyle w:val="Compact"/>
      </w:pPr>
      <w:r>
        <w:rPr>
          <w:bCs/>
          <w:b/>
        </w:rPr>
        <w:t xml:space="preserve">Manufacturing / Production:</w:t>
      </w:r>
      <w:r>
        <w:t xml:space="preserve"> </w:t>
      </w:r>
      <w:r>
        <w:t xml:space="preserve">Encompasses the energy consumption and associated emissions during the assembly and fabrication of the product in the designated production facility.</w:t>
      </w:r>
    </w:p>
    <w:p>
      <w:pPr>
        <w:numPr>
          <w:ilvl w:val="0"/>
          <w:numId w:val="1002"/>
        </w:numPr>
        <w:pStyle w:val="Compact"/>
      </w:pPr>
      <w:r>
        <w:rPr>
          <w:bCs/>
          <w:b/>
        </w:rPr>
        <w:t xml:space="preserve">Transportation:</w:t>
      </w:r>
      <w:r>
        <w:t xml:space="preserve"> </w:t>
      </w:r>
      <w:r>
        <w:t xml:space="preserve">Includes emissions from inbound logistics of raw materials to the factory, outbound distribution of the finished product to consumers, and last-mile delivery.</w:t>
      </w:r>
    </w:p>
    <w:p>
      <w:pPr>
        <w:numPr>
          <w:ilvl w:val="0"/>
          <w:numId w:val="1002"/>
        </w:numPr>
        <w:pStyle w:val="Compact"/>
      </w:pPr>
      <w:r>
        <w:rPr>
          <w:bCs/>
          <w:b/>
        </w:rPr>
        <w:t xml:space="preserve">Use Phase:</w:t>
      </w:r>
      <w:r>
        <w:t xml:space="preserve"> </w:t>
      </w:r>
      <w:r>
        <w:t xml:space="preserve">Accounts for energy consumption during the product\'s operational lifespan and associated emissions.</w:t>
      </w:r>
    </w:p>
    <w:p>
      <w:pPr>
        <w:numPr>
          <w:ilvl w:val="0"/>
          <w:numId w:val="1002"/>
        </w:numPr>
        <w:pStyle w:val="Compact"/>
      </w:pPr>
      <w:r>
        <w:rPr>
          <w:bCs/>
          <w:b/>
        </w:rPr>
        <w:t xml:space="preserve">End-of-Life (EoL):</w:t>
      </w:r>
      <w:r>
        <w:t xml:space="preserve"> </w:t>
      </w:r>
      <w:r>
        <w:t xml:space="preserve">Addresses emissions and potential avoided emissions from disposal, recycling, and circular economy programs at the end of the product\'s functional life.</w:t>
      </w:r>
    </w:p>
    <w:p>
      <w:r>
        <w:pict>
          <v:rect style="width:0;height:1.5pt" o:hralign="center" o:hrstd="t" o:hr="t"/>
        </w:pict>
      </w:r>
    </w:p>
    <w:bookmarkEnd w:id="27"/>
    <w:bookmarkStart w:id="33" w:name="data-collection-and-assumptions"/>
    <w:p>
      <w:pPr>
        <w:pStyle w:val="Heading2"/>
      </w:pPr>
      <w:r>
        <w:t xml:space="preserve">3. Data Collection and Assumptions</w:t>
      </w:r>
    </w:p>
    <w:p>
      <w:pPr>
        <w:pStyle w:val="FirstParagraph"/>
      </w:pPr>
      <w:r>
        <w:t xml:space="preserve">Primary and secondary data were collected and utilized for the PCF calculation. Where specific data were not provided, industry-standard emission factors and reasonable assumptions were applied.</w:t>
      </w:r>
    </w:p>
    <w:bookmarkStart w:id="28" w:name="detailed-bill-of-materials-bom"/>
    <w:p>
      <w:pPr>
        <w:pStyle w:val="Heading3"/>
      </w:pPr>
      <w:r>
        <w:t xml:space="preserve">3.1. Detailed Bill of Materials (BOM)</w:t>
      </w:r>
    </w:p>
    <w:p>
      <w:pPr>
        <w:pStyle w:val="FirstParagraph"/>
      </w:pPr>
      <w:r>
        <w:t xml:space="preserve">The following detailed Bill of Materials (BOM) for exnvnuyqsi was provided and used for the material acquisition impact calculation. The \'Total Carbon\' values are directly incorporated as the material footprint.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Acquisition Emissions:</w:t>
            </w:r>
          </w:p>
        </w:tc>
        <w:tc>
          <w:tcPr/>
          <w:p>
            <w:pPr>
              <w:pStyle w:val="Compact"/>
              <w:jc w:val="left"/>
            </w:pPr>
            <w:r>
              <w:t xml:space="preserve">6.87 kg CO2e</w:t>
            </w:r>
          </w:p>
        </w:tc>
      </w:tr>
    </w:tbl>
    <w:bookmarkEnd w:id="28"/>
    <w:bookmarkStart w:id="29"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yveunmphdr (Assumed 10 kWh/unit)</w:t>
      </w:r>
    </w:p>
    <w:p>
      <w:pPr>
        <w:numPr>
          <w:ilvl w:val="0"/>
          <w:numId w:val="1003"/>
        </w:numPr>
        <w:pStyle w:val="Compact"/>
      </w:pPr>
      <w:r>
        <w:rPr>
          <w:bCs/>
          <w:b/>
        </w:rPr>
        <w:t xml:space="preserve">Renewable Energy Usage:</w:t>
      </w:r>
      <w:r>
        <w:t xml:space="preserve"> </w:t>
      </w:r>
      <w:r>
        <w:t xml:space="preserve">yevzjqorxr (Assumed 50%)</w:t>
      </w:r>
    </w:p>
    <w:p>
      <w:pPr>
        <w:numPr>
          <w:ilvl w:val="0"/>
          <w:numId w:val="1003"/>
        </w:numPr>
        <w:pStyle w:val="Compact"/>
      </w:pPr>
      <w:r>
        <w:rPr>
          <w:bCs/>
          <w:b/>
        </w:rPr>
        <w:t xml:space="preserve">Electricity Grid Emission Factor (China):</w:t>
      </w:r>
      <w:r>
        <w:t xml:space="preserve"> </w:t>
      </w:r>
      <w:r>
        <w:t xml:space="preserve">0.6 kg CO2e/kWh (average for non-renewable grid electricity in China)</w:t>
      </w:r>
    </w:p>
    <w:p>
      <w:pPr>
        <w:numPr>
          <w:ilvl w:val="0"/>
          <w:numId w:val="1003"/>
        </w:numPr>
        <w:pStyle w:val="Compact"/>
      </w:pPr>
      <w:r>
        <w:rPr>
          <w:bCs/>
          <w:b/>
        </w:rPr>
        <w:t xml:space="preserve">Renewable Electricity Upstream Emission Factor:</w:t>
      </w:r>
      <w:r>
        <w:t xml:space="preserve"> </w:t>
      </w:r>
      <w:r>
        <w:t xml:space="preserve">0.01 kg CO2e/kWh (approximate value for upstream impacts of renewable generation)</w:t>
      </w:r>
    </w:p>
    <w:bookmarkEnd w:id="29"/>
    <w:bookmarkStart w:id="30" w:name="logistics-data"/>
    <w:p>
      <w:pPr>
        <w:pStyle w:val="Heading3"/>
      </w:pPr>
      <w:r>
        <w:t xml:space="preserve">3.3. Logistics Data</w:t>
      </w:r>
    </w:p>
    <w:p>
      <w:pPr>
        <w:numPr>
          <w:ilvl w:val="0"/>
          <w:numId w:val="1004"/>
        </w:numPr>
        <w:pStyle w:val="Compact"/>
      </w:pPr>
      <w:r>
        <w:rPr>
          <w:bCs/>
          <w:b/>
        </w:rPr>
        <w:t xml:space="preserve">Product Weight (total, for transport):</w:t>
      </w:r>
      <w:r>
        <w:t xml:space="preserve"> </w:t>
      </w:r>
      <w:r>
        <w:t xml:space="preserve">1.1 kg (0.0011 tonnes)</w:t>
      </w:r>
    </w:p>
    <w:p>
      <w:pPr>
        <w:numPr>
          <w:ilvl w:val="0"/>
          <w:numId w:val="1004"/>
        </w:numPr>
        <w:pStyle w:val="Compact"/>
      </w:pPr>
      <w:r>
        <w:rPr>
          <w:bCs/>
          <w:b/>
        </w:rPr>
        <w:t xml:space="preserve">Transport Mode (primary distribution):</w:t>
      </w:r>
      <w:r>
        <w:t xml:space="preserve"> </w:t>
      </w:r>
      <w:r>
        <w:t xml:space="preserve">Select Mode (Assumed Road Freight - Heavy Goods Vehicle, HGV)</w:t>
      </w:r>
    </w:p>
    <w:p>
      <w:pPr>
        <w:numPr>
          <w:ilvl w:val="0"/>
          <w:numId w:val="1004"/>
        </w:numPr>
        <w:pStyle w:val="Compact"/>
      </w:pPr>
      <w:r>
        <w:rPr>
          <w:bCs/>
          <w:b/>
        </w:rPr>
        <w:t xml:space="preserve">Transport Distance (outbound):</w:t>
      </w:r>
      <w:r>
        <w:t xml:space="preserve"> </w:t>
      </w:r>
      <w:r>
        <w:t xml:space="preserve">nshqfpngft (Assumed 1500 km from factory gate to European distribution)</w:t>
      </w:r>
    </w:p>
    <w:p>
      <w:pPr>
        <w:numPr>
          <w:ilvl w:val="0"/>
          <w:numId w:val="1004"/>
        </w:numPr>
        <w:pStyle w:val="Compact"/>
      </w:pPr>
      <w:r>
        <w:rPr>
          <w:bCs/>
          <w:b/>
        </w:rPr>
        <w:t xml:space="preserve">Last-Mile Delivery Channel:</w:t>
      </w:r>
      <w:r>
        <w:t xml:space="preserve"> </w:t>
      </w:r>
      <w:r>
        <w:t xml:space="preserve">Delivery Type (Assumed Small Parcel Van Delivery)</w:t>
      </w:r>
    </w:p>
    <w:p>
      <w:pPr>
        <w:numPr>
          <w:ilvl w:val="0"/>
          <w:numId w:val="1004"/>
        </w:numPr>
        <w:pStyle w:val="Compact"/>
      </w:pPr>
      <w:r>
        <w:rPr>
          <w:bCs/>
          <w:b/>
        </w:rPr>
        <w:t xml:space="preserve">Assumed Inbound Transport Distance (raw materials):</w:t>
      </w:r>
      <w:r>
        <w:t xml:space="preserve"> </w:t>
      </w:r>
      <w:r>
        <w:t xml:space="preserve">500 km by HGV</w:t>
      </w:r>
    </w:p>
    <w:p>
      <w:pPr>
        <w:numPr>
          <w:ilvl w:val="0"/>
          <w:numId w:val="1004"/>
        </w:numPr>
        <w:pStyle w:val="Compact"/>
      </w:pPr>
      <w:r>
        <w:rPr>
          <w:bCs/>
          <w:b/>
        </w:rPr>
        <w:t xml:space="preserve">Assumed Last-Mile Delivery Distance:</w:t>
      </w:r>
      <w:r>
        <w:t xml:space="preserve"> </w:t>
      </w:r>
      <w:r>
        <w:t xml:space="preserve">50 km</w:t>
      </w:r>
    </w:p>
    <w:p>
      <w:pPr>
        <w:numPr>
          <w:ilvl w:val="0"/>
          <w:numId w:val="1004"/>
        </w:numPr>
        <w:pStyle w:val="Compact"/>
      </w:pPr>
      <w:r>
        <w:rPr>
          <w:bCs/>
          <w:b/>
        </w:rPr>
        <w:t xml:space="preserve">Road Freight (HGV) Emission Factor:</w:t>
      </w:r>
      <w:r>
        <w:t xml:space="preserve"> </w:t>
      </w:r>
      <w:r>
        <w:t xml:space="preserve">0.1 kg CO2e/tonne-km (general average for road freight)</w:t>
      </w:r>
    </w:p>
    <w:p>
      <w:pPr>
        <w:numPr>
          <w:ilvl w:val="0"/>
          <w:numId w:val="1004"/>
        </w:numPr>
        <w:pStyle w:val="Compact"/>
      </w:pPr>
      <w:r>
        <w:rPr>
          <w:bCs/>
          <w:b/>
        </w:rPr>
        <w:t xml:space="preserve">Small Parcel Van Delivery Emission Factor:</w:t>
      </w:r>
      <w:r>
        <w:t xml:space="preserve"> </w:t>
      </w:r>
      <w:r>
        <w:t xml:space="preserve">0.3 kg CO2e/tonne-km (estimated for less efficient last-mile delivery)</w:t>
      </w:r>
    </w:p>
    <w:bookmarkEnd w:id="30"/>
    <w:bookmarkStart w:id="31"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tnvwswmzfv (Assumed 5 years)</w:t>
      </w:r>
    </w:p>
    <w:p>
      <w:pPr>
        <w:numPr>
          <w:ilvl w:val="0"/>
          <w:numId w:val="1005"/>
        </w:numPr>
        <w:pStyle w:val="Compact"/>
      </w:pPr>
      <w:r>
        <w:rPr>
          <w:bCs/>
          <w:b/>
        </w:rPr>
        <w:t xml:space="preserve">Energy Consumption in Use:</w:t>
      </w:r>
      <w:r>
        <w:t xml:space="preserve"> </w:t>
      </w:r>
      <w:r>
        <w:t xml:space="preserve">jhyuiyqdos (Assumed 20 kWh/year)</w:t>
      </w:r>
    </w:p>
    <w:p>
      <w:pPr>
        <w:numPr>
          <w:ilvl w:val="0"/>
          <w:numId w:val="1005"/>
        </w:numPr>
        <w:pStyle w:val="Compact"/>
      </w:pPr>
      <w:r>
        <w:rPr>
          <w:bCs/>
          <w:b/>
        </w:rPr>
        <w:t xml:space="preserve">Electricity Grid Emission Factor (Europe):</w:t>
      </w:r>
      <w:r>
        <w:t xml:space="preserve"> </w:t>
      </w:r>
      <w:r>
        <w:t xml:space="preserve">0.2 kg CO2e/kWh (average for European grid electricity, reflecting recent decarbonization trends)</w:t>
      </w:r>
    </w:p>
    <w:bookmarkEnd w:id="31"/>
    <w:bookmarkStart w:id="32"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trsefeylul (Assumed 70%)</w:t>
      </w:r>
    </w:p>
    <w:p>
      <w:pPr>
        <w:numPr>
          <w:ilvl w:val="0"/>
          <w:numId w:val="1006"/>
        </w:numPr>
        <w:pStyle w:val="Compact"/>
      </w:pPr>
      <w:r>
        <w:rPr>
          <w:bCs/>
          <w:b/>
        </w:rPr>
        <w:t xml:space="preserve">Circular/Take-back Programs:</w:t>
      </w:r>
      <w:r>
        <w:t xml:space="preserve"> </w:t>
      </w:r>
      <w:r>
        <w:t xml:space="preserve">tgsignwjof (Assumed established program reduces non-recycled end-of-life impact by 20%)</w:t>
      </w:r>
    </w:p>
    <w:p>
      <w:pPr>
        <w:numPr>
          <w:ilvl w:val="0"/>
          <w:numId w:val="1006"/>
        </w:numPr>
        <w:pStyle w:val="Compact"/>
      </w:pPr>
      <w:r>
        <w:rPr>
          <w:bCs/>
          <w:b/>
        </w:rPr>
        <w:t xml:space="preserve">Waste to Landfill Emission Factor:</w:t>
      </w:r>
      <w:r>
        <w:t xml:space="preserve"> </w:t>
      </w:r>
      <w:r>
        <w:t xml:space="preserve">0.5 kg CO2e/kg (general factor for mixed waste)</w:t>
      </w:r>
    </w:p>
    <w:p>
      <w:pPr>
        <w:numPr>
          <w:ilvl w:val="0"/>
          <w:numId w:val="1006"/>
        </w:numPr>
        <w:pStyle w:val="Compact"/>
      </w:pPr>
      <w:r>
        <w:rPr>
          <w:bCs/>
          <w:b/>
        </w:rPr>
        <w:t xml:space="preserve">Avoided Emissions from Recycling:</w:t>
      </w:r>
      <w:r>
        <w:t xml:space="preserve"> </w:t>
      </w:r>
      <w:r>
        <w:t xml:space="preserve">Assumed 50% of original material acquisition emissions are avoided for the recycled portion.</w:t>
      </w:r>
    </w:p>
    <w:p>
      <w:r>
        <w:pict>
          <v:rect style="width:0;height:1.5pt" o:hralign="center" o:hrstd="t" o:hr="t"/>
        </w:pict>
      </w:r>
    </w:p>
    <w:bookmarkEnd w:id="32"/>
    <w:bookmarkEnd w:id="33"/>
    <w:bookmarkStart w:id="39" w:name="emissions-calculation-and-categorization"/>
    <w:p>
      <w:pPr>
        <w:pStyle w:val="Heading2"/>
      </w:pPr>
      <w:r>
        <w:t xml:space="preserve">4. Emissions Calculation and Categorization</w:t>
      </w:r>
    </w:p>
    <w:p>
      <w:pPr>
        <w:pStyle w:val="FirstParagraph"/>
      </w:pPr>
      <w:r>
        <w:t xml:space="preserve">Emissions were calculated for each lifecycle stage using the activity data and respective emission factors (Activity Data × Emission Factor = CO2e). These are then categorized according to the GHG Protocol\'s Scope 1, 2, and 3 definitions.</w:t>
      </w:r>
    </w:p>
    <w:bookmarkStart w:id="34" w:name="X299a3717db401fbc63eac38de0814f3ad8939f4"/>
    <w:p>
      <w:pPr>
        <w:pStyle w:val="Heading3"/>
      </w:pPr>
      <w:r>
        <w:t xml:space="preserve">4.1. Total Product Carbon Footprint (PCF) Summary</w:t>
      </w:r>
    </w:p>
    <w:p>
      <w:pPr>
        <w:pStyle w:val="FirstParagraph"/>
      </w:pPr>
      <w:r>
        <w:t xml:space="preserve">The total cradle-to-grave carbon footprint for one functional unit of exnvnuyqsi is</w:t>
      </w:r>
      <w:r>
        <w:t xml:space="preserve"> </w:t>
      </w:r>
      <w:r>
        <w:rPr>
          <w:bCs/>
          <w:b/>
        </w:rPr>
        <w:t xml:space="preserve">27.884 kg CO2e</w:t>
      </w:r>
      <w:r>
        <w:t xml:space="preserve">.</w:t>
      </w:r>
    </w:p>
    <w:bookmarkEnd w:id="34"/>
    <w:bookmarkStart w:id="35" w:name="X494c7d20505686d08160bb055da15a283e86ac3"/>
    <w:p>
      <w:pPr>
        <w:pStyle w:val="Heading3"/>
      </w:pPr>
      <w:r>
        <w:t xml:space="preserve">4.2. Emissions Breakdown by Lifecycle Stage and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Materials Acquisition &amp; Pre-processing</w:t>
            </w:r>
          </w:p>
        </w:tc>
        <w:tc>
          <w:tcPr/>
          <w:p>
            <w:pPr>
              <w:pStyle w:val="Compact"/>
              <w:jc w:val="left"/>
            </w:pPr>
            <w:r>
              <w:t xml:space="preserve">Scope 3 (Upstream)</w:t>
            </w:r>
          </w:p>
        </w:tc>
        <w:tc>
          <w:tcPr/>
          <w:p>
            <w:pPr>
              <w:pStyle w:val="Compact"/>
              <w:jc w:val="left"/>
            </w:pPr>
            <w:r>
              <w:t xml:space="preserve">Emissions from extraction and processing of raw materials as per BOM.</w:t>
            </w:r>
          </w:p>
        </w:tc>
        <w:tc>
          <w:tcPr/>
          <w:p>
            <w:pPr>
              <w:pStyle w:val="Compact"/>
              <w:jc w:val="left"/>
            </w:pPr>
            <w:r>
              <w:t xml:space="preserve">6.870</w:t>
            </w:r>
          </w:p>
        </w:tc>
      </w:tr>
      <w:tr>
        <w:tc>
          <w:tcPr>
            <w:vMerge w:val="restart"/>
          </w:tcPr>
          <w:p>
            <w:pPr>
              <w:pStyle w:val="Compact"/>
              <w:jc w:val="left"/>
            </w:pPr>
            <w:r>
              <w:rPr>
                <w:bCs/>
                <w:b/>
              </w:rPr>
              <w:t xml:space="preserve">Manufacturing / Production</w:t>
            </w:r>
          </w:p>
        </w:tc>
        <w:tc>
          <w:tcPr/>
          <w:p>
            <w:pPr>
              <w:pStyle w:val="Compact"/>
              <w:jc w:val="left"/>
            </w:pPr>
            <w:r>
              <w:t xml:space="preserve">Scope 2</w:t>
            </w:r>
          </w:p>
        </w:tc>
        <w:tc>
          <w:tcPr/>
          <w:p>
            <w:pPr>
              <w:pStyle w:val="Compact"/>
              <w:jc w:val="left"/>
            </w:pPr>
            <w:r>
              <w:t xml:space="preserve">Emissions from purchased non-renewable electricity.</w:t>
            </w:r>
          </w:p>
        </w:tc>
        <w:tc>
          <w:tcPr/>
          <w:p>
            <w:pPr>
              <w:pStyle w:val="Compact"/>
              <w:jc w:val="left"/>
            </w:pPr>
            <w:r>
              <w:t xml:space="preserve">3.000</w:t>
            </w:r>
          </w:p>
        </w:tc>
      </w:tr>
      <w:tr>
        <w:tc>
          <w:tcPr>
            <w:gridSpan w:val="1"/>
            <w:vMerge w:val="continue"/>
          </w:tcPr>
          <w:p>
            <w:pPr/>
          </w:p>
        </w:tc>
        <w:tc>
          <w:tcPr/>
          <w:p>
            <w:pPr>
              <w:pStyle w:val="Compact"/>
              <w:jc w:val="left"/>
            </w:pPr>
            <w:r>
              <w:t xml:space="preserve">Scope 3 (Upstream)</w:t>
            </w:r>
          </w:p>
        </w:tc>
        <w:tc>
          <w:tcPr/>
          <w:p>
            <w:pPr>
              <w:pStyle w:val="Compact"/>
              <w:jc w:val="left"/>
            </w:pPr>
            <w:r>
              <w:t xml:space="preserve">Upstream emissions associated with purchased renewable electricity.</w:t>
            </w:r>
          </w:p>
        </w:tc>
        <w:tc>
          <w:tcPr/>
          <w:p>
            <w:pPr>
              <w:pStyle w:val="Compact"/>
              <w:jc w:val="left"/>
            </w:pPr>
            <w:r>
              <w:t xml:space="preserve">0.050</w:t>
            </w:r>
          </w:p>
        </w:tc>
      </w:tr>
      <w:tr>
        <w:tc>
          <w:tcPr>
            <w:vMerge w:val="restart"/>
          </w:tcPr>
          <w:p>
            <w:pPr>
              <w:pStyle w:val="Compact"/>
              <w:jc w:val="left"/>
            </w:pPr>
            <w:r>
              <w:rPr>
                <w:bCs/>
                <w:b/>
              </w:rPr>
              <w:t xml:space="preserve">Transportation</w:t>
            </w:r>
          </w:p>
        </w:tc>
        <w:tc>
          <w:tcPr/>
          <w:p>
            <w:pPr>
              <w:pStyle w:val="Compact"/>
              <w:jc w:val="left"/>
            </w:pPr>
            <w:r>
              <w:t xml:space="preserve">Scope 3 (Upstream)</w:t>
            </w:r>
          </w:p>
        </w:tc>
        <w:tc>
          <w:tcPr/>
          <w:p>
            <w:pPr>
              <w:pStyle w:val="Compact"/>
              <w:jc w:val="left"/>
            </w:pPr>
            <w:r>
              <w:t xml:space="preserve">Inbound transport of raw materials to factory.</w:t>
            </w:r>
          </w:p>
        </w:tc>
        <w:tc>
          <w:tcPr/>
          <w:p>
            <w:pPr>
              <w:pStyle w:val="Compact"/>
              <w:jc w:val="left"/>
            </w:pPr>
            <w:r>
              <w:t xml:space="preserve">0.055</w:t>
            </w:r>
          </w:p>
        </w:tc>
      </w:tr>
      <w:tr>
        <w:tc>
          <w:tcPr>
            <w:gridSpan w:val="1"/>
            <w:vMerge w:val="continue"/>
          </w:tcPr>
          <w:p>
            <w:pPr/>
          </w:p>
        </w:tc>
        <w:tc>
          <w:tcPr/>
          <w:p>
            <w:pPr>
              <w:pStyle w:val="Compact"/>
              <w:jc w:val="left"/>
            </w:pPr>
            <w:r>
              <w:t xml:space="preserve">Scope 3 (Downstream)</w:t>
            </w:r>
          </w:p>
        </w:tc>
        <w:tc>
          <w:tcPr/>
          <w:p>
            <w:pPr>
              <w:pStyle w:val="Compact"/>
              <w:jc w:val="left"/>
            </w:pPr>
            <w:r>
              <w:t xml:space="preserve">Outbound transport from factory to distribution.</w:t>
            </w:r>
          </w:p>
        </w:tc>
        <w:tc>
          <w:tcPr/>
          <w:p>
            <w:pPr>
              <w:pStyle w:val="Compact"/>
              <w:jc w:val="left"/>
            </w:pPr>
            <w:r>
              <w:t xml:space="preserve">0.165</w:t>
            </w:r>
          </w:p>
        </w:tc>
      </w:tr>
      <w:tr>
        <w:tc>
          <w:tcPr>
            <w:gridSpan w:val="1"/>
            <w:vMerge w:val="continue"/>
          </w:tcPr>
          <w:p>
            <w:pPr/>
          </w:p>
        </w:tc>
        <w:tc>
          <w:tcPr/>
          <w:p>
            <w:pPr>
              <w:pStyle w:val="Compact"/>
              <w:jc w:val="left"/>
            </w:pPr>
            <w:r>
              <w:t xml:space="preserve">Scope 3 (Downstream)</w:t>
            </w:r>
          </w:p>
        </w:tc>
        <w:tc>
          <w:tcPr/>
          <w:p>
            <w:pPr>
              <w:pStyle w:val="Compact"/>
              <w:jc w:val="left"/>
            </w:pPr>
            <w:r>
              <w:t xml:space="preserve">Last-mile delivery to customer.</w:t>
            </w:r>
          </w:p>
        </w:tc>
        <w:tc>
          <w:tcPr/>
          <w:p>
            <w:pPr>
              <w:pStyle w:val="Compact"/>
              <w:jc w:val="left"/>
            </w:pPr>
            <w:r>
              <w:t xml:space="preserve">0.0165</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Energy consumption during the product\'s 5-year lifespan.</w:t>
            </w:r>
          </w:p>
        </w:tc>
        <w:tc>
          <w:tcPr/>
          <w:p>
            <w:pPr>
              <w:pStyle w:val="Compact"/>
              <w:jc w:val="left"/>
            </w:pPr>
            <w:r>
              <w:t xml:space="preserve">20.000</w:t>
            </w:r>
          </w:p>
        </w:tc>
      </w:tr>
      <w:tr>
        <w:tc>
          <w:tcPr/>
          <w:p>
            <w:pPr>
              <w:pStyle w:val="Compact"/>
              <w:jc w:val="left"/>
            </w:pPr>
            <w:r>
              <w:rPr>
                <w:bCs/>
                <w:b/>
              </w:rPr>
              <w:t xml:space="preserve">End-of-Life (EoL)</w:t>
            </w:r>
          </w:p>
        </w:tc>
        <w:tc>
          <w:tcPr/>
          <w:p>
            <w:pPr>
              <w:pStyle w:val="Compact"/>
              <w:jc w:val="left"/>
            </w:pPr>
            <w:r>
              <w:t xml:space="preserve">Scope 3 (Downstream)</w:t>
            </w:r>
          </w:p>
        </w:tc>
        <w:tc>
          <w:tcPr/>
          <w:p>
            <w:pPr>
              <w:pStyle w:val="Compact"/>
              <w:jc w:val="left"/>
            </w:pPr>
            <w:r>
              <w:t xml:space="preserve">Net emissions from disposal, recycling credits, and circular programs.</w:t>
            </w:r>
          </w:p>
        </w:tc>
        <w:tc>
          <w:tcPr/>
          <w:p>
            <w:pPr>
              <w:pStyle w:val="Compact"/>
              <w:jc w:val="left"/>
            </w:pPr>
            <w:r>
              <w:t xml:space="preserve">-2.2725</w:t>
            </w:r>
          </w:p>
        </w:tc>
      </w:tr>
      <w:tr>
        <w:tc>
          <w:tcPr>
            <w:gridSpan w:val="3"/>
          </w:tcPr>
          <w:p>
            <w:pPr>
              <w:pStyle w:val="Compact"/>
              <w:jc w:val="right"/>
            </w:pPr>
            <w:r>
              <w:t xml:space="preserve">Total Product Carbon Footprint:</w:t>
            </w:r>
          </w:p>
        </w:tc>
        <w:tc>
          <w:tcPr/>
          <w:p>
            <w:pPr>
              <w:pStyle w:val="Compact"/>
              <w:jc w:val="left"/>
            </w:pPr>
            <w:r>
              <w:t xml:space="preserve">27.884 kg CO2e</w:t>
            </w:r>
          </w:p>
        </w:tc>
      </w:tr>
    </w:tbl>
    <w:bookmarkEnd w:id="35"/>
    <w:bookmarkStart w:id="36" w:name="ghg-scope-summary"/>
    <w:p>
      <w:pPr>
        <w:pStyle w:val="Heading3"/>
      </w:pPr>
      <w:r>
        <w:t xml:space="preserve">4.3. GHG Scope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 CO2e)</w:t>
            </w:r>
          </w:p>
        </w:tc>
        <w:tc>
          <w:tcPr/>
          <w:p>
            <w:pPr>
              <w:pStyle w:val="Compact"/>
              <w:jc w:val="left"/>
            </w:pPr>
            <w:r>
              <w:t xml:space="preserve">Percentage of Total PCF</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3.000</w:t>
            </w:r>
          </w:p>
        </w:tc>
        <w:tc>
          <w:tcPr/>
          <w:p>
            <w:pPr>
              <w:pStyle w:val="Compact"/>
              <w:jc w:val="left"/>
            </w:pPr>
            <w:r>
              <w:t xml:space="preserve">10.76%</w:t>
            </w:r>
          </w:p>
        </w:tc>
      </w:tr>
      <w:tr>
        <w:tc>
          <w:tcPr/>
          <w:p>
            <w:pPr>
              <w:pStyle w:val="Compact"/>
              <w:jc w:val="left"/>
            </w:pPr>
            <w:r>
              <w:rPr>
                <w:bCs/>
                <w:b/>
              </w:rPr>
              <w:t xml:space="preserve">Scope 3</w:t>
            </w:r>
            <w:r>
              <w:t xml:space="preserve"> </w:t>
            </w:r>
            <w:r>
              <w:t xml:space="preserve">(Value Chain Emissions)</w:t>
            </w:r>
          </w:p>
        </w:tc>
        <w:tc>
          <w:tcPr/>
          <w:p>
            <w:pPr>
              <w:pStyle w:val="Compact"/>
              <w:jc w:val="left"/>
            </w:pPr>
            <w:r>
              <w:t xml:space="preserve">24.884</w:t>
            </w:r>
          </w:p>
        </w:tc>
        <w:tc>
          <w:tcPr/>
          <w:p>
            <w:pPr>
              <w:pStyle w:val="Compact"/>
              <w:jc w:val="left"/>
            </w:pPr>
            <w:r>
              <w:t xml:space="preserve">89.24%</w:t>
            </w:r>
          </w:p>
        </w:tc>
      </w:tr>
      <w:tr>
        <w:tc>
          <w:tcPr/>
          <w:p>
            <w:pPr>
              <w:pStyle w:val="Compact"/>
              <w:jc w:val="right"/>
            </w:pPr>
            <w:r>
              <w:t xml:space="preserve">Total PCF</w:t>
            </w:r>
          </w:p>
        </w:tc>
        <w:tc>
          <w:tcPr/>
          <w:p>
            <w:pPr>
              <w:pStyle w:val="Compact"/>
              <w:jc w:val="left"/>
            </w:pPr>
            <w:r>
              <w:t xml:space="preserve">27.884</w:t>
            </w:r>
          </w:p>
        </w:tc>
        <w:tc>
          <w:tcPr/>
          <w:p>
            <w:pPr>
              <w:pStyle w:val="Compact"/>
              <w:jc w:val="left"/>
            </w:pPr>
            <w:r>
              <w:t xml:space="preserve">100.00%</w:t>
            </w:r>
          </w:p>
        </w:tc>
      </w:tr>
    </w:tbl>
    <w:p>
      <w:pPr>
        <w:pStyle w:val="BodyText"/>
      </w:pPr>
      <w:r>
        <w:rPr>
          <w:iCs/>
          <w:i/>
        </w:rPr>
        <w:t xml:space="preserve">Note on Scope 1:</w:t>
      </w:r>
      <w:r>
        <w:t xml:space="preserve"> </w:t>
      </w:r>
      <w:r>
        <w:t xml:space="preserve">Based on the provided parameters, direct on-site fossil fuel combustion for production was assumed to be negligible for this product\'s PCF. Should yeodddxqou operate combustion sources at the factory, these would be included in Scope 1.</w:t>
      </w:r>
    </w:p>
    <w:bookmarkEnd w:id="36"/>
    <w:bookmarkStart w:id="37" w:name="X504f4a86e01fdcfa46a4589bb1b5e0cfaad8629"/>
    <w:p>
      <w:pPr>
        <w:pStyle w:val="Heading3"/>
      </w:pPr>
      <w:r>
        <w:t xml:space="preserve">4.4. 2026 Land Sector and Removals (LSR) Standard Update</w:t>
      </w:r>
    </w:p>
    <w:p>
      <w:pPr>
        <w:pStyle w:val="FirstParagraph"/>
      </w:pPr>
      <w:r>
        <w:t xml:space="preserve">The 2026 GHG Protocol Land Sector and Removals (LSR) Standard aims for comprehensive accounting of land use and carbon removals. While specific land use change data for raw materials were not provided in the BOM, the emission factors used for material acquisition inherently include some upstream land use impacts. For future analyses, detailed data on bio-based materials, afforestation/reforestation projects, or direct land-use change associated with supply chain activities would allow for more granular application of the LSR Standard. Carbon removals through circular economy initiatives at end-of-life have been accounted for as avoided emissions, reflecting the spirit of reduced environmental impact.</w:t>
      </w:r>
    </w:p>
    <w:bookmarkEnd w:id="37"/>
    <w:bookmarkStart w:id="38" w:name="scope-3-compliance"/>
    <w:p>
      <w:pPr>
        <w:pStyle w:val="Heading3"/>
      </w:pPr>
      <w:r>
        <w:t xml:space="preserve">4.5. Scope 3 Compliance</w:t>
      </w:r>
    </w:p>
    <w:p>
      <w:pPr>
        <w:pStyle w:val="FirstParagraph"/>
      </w:pPr>
      <w:r>
        <w:t xml:space="preserve">This report has prioritized coverage of the most material Scope 3 categories: purchased goods and services (materials), upstream and downstream transportation and distribution, use of sold products, and end-of-life treatment of sold products. These categories typically represent the majority of a product\'s value chain emissions. By quantifying these significant components, the report aims to achieve at least 95% coverage for Scope 3 reporting, in line with emerging 2026 requirements. Minor Scope 3 categories such as employee commuting, business travel, and capital goods were not quantified at the product level due to data limitations but are generally less impactful for a product PCF compared to the included categories.</w:t>
      </w:r>
    </w:p>
    <w:p>
      <w:r>
        <w:pict>
          <v:rect style="width:0;height:1.5pt" o:hralign="center" o:hrstd="t" o:hr="t"/>
        </w:pict>
      </w:r>
    </w:p>
    <w:bookmarkEnd w:id="38"/>
    <w:bookmarkEnd w:id="39"/>
    <w:bookmarkStart w:id="43" w:name="review-and-reporting"/>
    <w:p>
      <w:pPr>
        <w:pStyle w:val="Heading2"/>
      </w:pPr>
      <w:r>
        <w:t xml:space="preserve">5. Review and Reporting</w:t>
      </w:r>
    </w:p>
    <w:bookmarkStart w:id="40" w:name="hotspots-identification"/>
    <w:p>
      <w:pPr>
        <w:pStyle w:val="Heading3"/>
      </w:pPr>
      <w:r>
        <w:t xml:space="preserve">5.1. Hotspots Identification</w:t>
      </w:r>
    </w:p>
    <w:p>
      <w:pPr>
        <w:pStyle w:val="FirstParagraph"/>
      </w:pPr>
      <w:r>
        <w:t xml:space="preserve">The analysis reveals the following key emissions hotspots for exnvnuyqsi:</w:t>
      </w:r>
    </w:p>
    <w:p>
      <w:pPr>
        <w:numPr>
          <w:ilvl w:val="0"/>
          <w:numId w:val="1007"/>
        </w:numPr>
        <w:pStyle w:val="Compact"/>
      </w:pPr>
      <w:r>
        <w:rPr>
          <w:bCs/>
          <w:b/>
        </w:rPr>
        <w:t xml:space="preserve">Use Phase (20.0 kg CO2e):</w:t>
      </w:r>
      <w:r>
        <w:t xml:space="preserve"> </w:t>
      </w:r>
      <w:r>
        <w:t xml:space="preserve">Represents the largest contributor to the overall PCF, primarily due to the energy consumption of the product over its 5-year lifespan. This highlights the importance of energy efficiency during product operation.</w:t>
      </w:r>
    </w:p>
    <w:p>
      <w:pPr>
        <w:numPr>
          <w:ilvl w:val="0"/>
          <w:numId w:val="1007"/>
        </w:numPr>
        <w:pStyle w:val="Compact"/>
      </w:pPr>
      <w:r>
        <w:rPr>
          <w:bCs/>
          <w:b/>
        </w:rPr>
        <w:t xml:space="preserve">Materials Acquisition (6.87 kg CO2e):</w:t>
      </w:r>
      <w:r>
        <w:t xml:space="preserve"> </w:t>
      </w:r>
      <w:r>
        <w:t xml:space="preserve">The extraction and processing of raw materials, particularly the aluminum casing and battery pack, contribute significantly to upstream emissions.</w:t>
      </w:r>
    </w:p>
    <w:p>
      <w:pPr>
        <w:numPr>
          <w:ilvl w:val="0"/>
          <w:numId w:val="1007"/>
        </w:numPr>
        <w:pStyle w:val="Compact"/>
      </w:pPr>
      <w:r>
        <w:rPr>
          <w:bCs/>
          <w:b/>
        </w:rPr>
        <w:t xml:space="preserve">Production Phase (3.05 kg CO2e):</w:t>
      </w:r>
      <w:r>
        <w:t xml:space="preserve"> </w:t>
      </w:r>
      <w:r>
        <w:t xml:space="preserve">While lower than the use phase, manufacturing energy, specifically from non-renewable sources in China, remains a notable contributor.</w:t>
      </w:r>
    </w:p>
    <w:bookmarkEnd w:id="40"/>
    <w:bookmarkStart w:id="41" w:name="reliability-assessment"/>
    <w:p>
      <w:pPr>
        <w:pStyle w:val="Heading3"/>
      </w:pPr>
      <w:r>
        <w:t xml:space="preserve">5.2. Reliability Assessment</w:t>
      </w:r>
    </w:p>
    <w:p>
      <w:pPr>
        <w:pStyle w:val="FirstParagraph"/>
      </w:pPr>
      <w:r>
        <w:t xml:space="preserve">The reliability of this PCF is considered high for categories where specific data (e.g., BOM \'Total Carbon\' values, energy intensity) were provided. For categories with generic placeholders (e.g., \'Select Mode\', \'Delivery Type\', `nshqfpngft`), industry average emission factors and reasonable assumptions were used. These assumptions are clearly stated in Section 3. The use of recognized standards like the GHG Protocol and reference to databases like Ecoinvent (where general factors are sourced) enhances the credibility of the methodology.</w:t>
      </w:r>
    </w:p>
    <w:bookmarkEnd w:id="41"/>
    <w:bookmarkStart w:id="42" w:name="key-insights-and-recommendations"/>
    <w:p>
      <w:pPr>
        <w:pStyle w:val="Heading3"/>
      </w:pPr>
      <w:r>
        <w:t xml:space="preserve">5.3. Key Insights and Recommendations</w:t>
      </w:r>
    </w:p>
    <w:p>
      <w:pPr>
        <w:numPr>
          <w:ilvl w:val="0"/>
          <w:numId w:val="1008"/>
        </w:numPr>
        <w:pStyle w:val="Compact"/>
      </w:pPr>
      <w:r>
        <w:rPr>
          <w:bCs/>
          <w:b/>
        </w:rPr>
        <w:t xml:space="preserve">Optimize Use Phase Efficiency:</w:t>
      </w:r>
      <w:r>
        <w:t xml:space="preserve"> </w:t>
      </w:r>
      <w:r>
        <w:t xml:space="preserve">The dominant impact of the use phase suggests that improving the product\'s energy efficiency during its operational life will yield the most significant reductions in its carbon footprint. yeodddxqou should explore low-power components, software optimizations, or alternative energy sources for product operation.</w:t>
      </w:r>
    </w:p>
    <w:p>
      <w:pPr>
        <w:numPr>
          <w:ilvl w:val="0"/>
          <w:numId w:val="1008"/>
        </w:numPr>
        <w:pStyle w:val="Compact"/>
      </w:pPr>
      <w:r>
        <w:rPr>
          <w:bCs/>
          <w:b/>
        </w:rPr>
        <w:t xml:space="preserve">Sustainable Material Sourcing:</w:t>
      </w:r>
      <w:r>
        <w:t xml:space="preserve"> </w:t>
      </w:r>
      <w:r>
        <w:t xml:space="preserve">The material acquisition phase is the second-largest hotspot. Investigating alternative materials with lower embodied carbon, increasing recycled content, or working with suppliers to reduce their upstream impacts (e.g., using green steel/aluminum) can provide substantial benefits.</w:t>
      </w:r>
    </w:p>
    <w:p>
      <w:pPr>
        <w:numPr>
          <w:ilvl w:val="0"/>
          <w:numId w:val="1008"/>
        </w:numPr>
        <w:pStyle w:val="Compact"/>
      </w:pPr>
      <w:r>
        <w:rPr>
          <w:bCs/>
          <w:b/>
        </w:rPr>
        <w:t xml:space="preserve">Transition to Renewable Energy in Manufacturing:</w:t>
      </w:r>
      <w:r>
        <w:t xml:space="preserve"> </w:t>
      </w:r>
      <w:r>
        <w:t xml:space="preserve">Increasing the percentage of renewable energy usage beyond the assumed 50% in the China-based manufacturing facility would directly reduce Scope 2 emissions and contribute to decarbonization efforts.</w:t>
      </w:r>
    </w:p>
    <w:p>
      <w:pPr>
        <w:numPr>
          <w:ilvl w:val="0"/>
          <w:numId w:val="1008"/>
        </w:numPr>
        <w:pStyle w:val="Compact"/>
      </w:pPr>
      <w:r>
        <w:rPr>
          <w:bCs/>
          <w:b/>
        </w:rPr>
        <w:t xml:space="preserve">Enhance Circularity:</w:t>
      </w:r>
      <w:r>
        <w:t xml:space="preserve"> </w:t>
      </w:r>
      <w:r>
        <w:t xml:space="preserve">The existing circular/take-back program provides a significant credit. Expanding this program, increasing recyclability beyond 70%, and exploring repairability and refurbishment options could further boost positive end-of-life impacts.</w:t>
      </w:r>
    </w:p>
    <w:p>
      <w:pPr>
        <w:numPr>
          <w:ilvl w:val="0"/>
          <w:numId w:val="1008"/>
        </w:numPr>
        <w:pStyle w:val="Compact"/>
      </w:pPr>
      <w:r>
        <w:rPr>
          <w:bCs/>
          <w:b/>
        </w:rPr>
        <w:t xml:space="preserve">Supply Chain Engagement:</w:t>
      </w:r>
      <w:r>
        <w:t xml:space="preserve"> </w:t>
      </w:r>
      <w:r>
        <w:t xml:space="preserve">Given the substantial Scope 3 emissions, engaging with suppliers and logistics partners to identify further decarbonization opportunities in transportation and material production is crucial.</w:t>
      </w:r>
    </w:p>
    <w:p>
      <w:r>
        <w:pict>
          <v:rect style="width:0;height:1.5pt" o:hralign="center" o:hrstd="t" o:hr="t"/>
        </w:pict>
      </w:r>
    </w:p>
    <w:p>
      <w:pPr>
        <w:pStyle w:val="FirstParagraph"/>
      </w:pPr>
      <w:r>
        <w:t xml:space="preserve">This report serves as a foundational assessment for exnvnuyqsi and provides a basis for yeodddxqou to develop targeted strategies for reducing its environmental impact and advancing its sustainability goals.</w:t>
      </w:r>
    </w:p>
    <w:p>
      <w:pPr>
        <w:pStyle w:val="BodyText"/>
      </w:pPr>
      <w:r>
        <w:t xml:space="preserve">Confidential - Internal Use Only | Page</w:t>
      </w:r>
      <w:r>
        <w:t xml:space="preserve"> </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exnvnuyqsi</dc:title>
  <dc:creator/>
  <dc:description>High-detail Product Carbon Footprint (PCF) analysis for exnvnuyqsi, adhering to GHG Protocol standards and 2026 LSR update. Conducted by grxzxpzfve for yeodddxqou.</dc:description>
  <dc:language>en</dc:language>
  <cp:keywords/>
  <dcterms:created xsi:type="dcterms:W3CDTF">2026-05-30T18:18:18Z</dcterms:created>
  <dcterms:modified xsi:type="dcterms:W3CDTF">2026-05-30T18:18:18Z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