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exdmrnnrnm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Product: exdmrnnrnm</w:t>
      </w:r>
    </w:p>
    <w:p>
      <w:pPr>
        <w:pStyle w:val="BodyText"/>
      </w:pPr>
      <w:r>
        <w:t xml:space="preserve">Company: hrefnvwhqd</w:t>
      </w:r>
    </w:p>
    <w:p>
      <w:pPr>
        <w:pStyle w:val="BodyText"/>
      </w:pPr>
      <w:r>
        <w:t xml:space="preserve">Senior Sustainability Consultant: xjduesxijh</w:t>
      </w:r>
    </w:p>
    <w:p>
      <w:pPr>
        <w:pStyle w:val="BodyText"/>
      </w:pPr>
      <w:r>
        <w:t xml:space="preserve">Accounting Standard: GHG Protocol</w:t>
      </w:r>
    </w:p>
    <w:p>
      <w:pPr>
        <w:pStyle w:val="BodyText"/>
      </w:pPr>
      <w:r>
        <w:t xml:space="preserve">Disclaimer: This report is generated based on available data and industry standards, incorporating provided parameters.</w:t>
      </w:r>
      <w:r>
        <w:t xml:space="preserve"> </w:t>
      </w:r>
      <w:r>
        <w:t xml:space="preserve">All emission factors and specific data not explicitly provided were assumed based on industry averages and best practices for illustrative purposes.</w:t>
      </w:r>
    </w:p>
    <w:bookmarkEnd w:id="20"/>
    <w:bookmarkStart w:id="21" w:name="X1bf85d37859db9a92868fa9b63c69b7d1b82354"/>
    <w:p>
      <w:pPr>
        <w:pStyle w:val="Heading1"/>
      </w:pPr>
      <w:r>
        <w:t xml:space="preserve">Product Carbon Footprint Analysis Report: exdmrnnrnm</w:t>
      </w:r>
    </w:p>
    <w:p>
      <w:pPr>
        <w:pStyle w:val="FirstParagraph"/>
      </w:pPr>
      <w:r>
        <w:t xml:space="preserve">Generated Date: May 27,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high-detail Product Carbon Footprint (PCF) analysis for the product "exdmrnnrnm," developed for "hrefnvwhqd,"</w:t>
      </w:r>
      <w:r>
        <w:t xml:space="preserve"> </w:t>
      </w:r>
      <w:r>
        <w:t xml:space="preserve">provides a comprehensive assessment of its greenhouse gas (GHG) emissions across its lifecycle. Conducted by</w:t>
      </w:r>
      <w:r>
        <w:t xml:space="preserve"> </w:t>
      </w:r>
      <w:r>
        <w:t xml:space="preserve">xjduesxijh, Senior Sustainability Consultant, and adhering to the GHG Protocol Product Life Cycle Accounting and</w:t>
      </w:r>
      <w:r>
        <w:t xml:space="preserve"> </w:t>
      </w:r>
      <w:r>
        <w:t xml:space="preserve">Reporting Standard, this report identifies key emission hotspots from raw material acquisition to end-of-life.</w:t>
      </w:r>
      <w:r>
        <w:t xml:space="preserve"> </w:t>
      </w:r>
      <w:r>
        <w:t xml:space="preserve">The analysis incorporates specific Bill of Materials data, logistics, energy usage, product lifespan, and end-of-life scenarios to</w:t>
      </w:r>
      <w:r>
        <w:t xml:space="preserve"> </w:t>
      </w:r>
      <w:r>
        <w:t xml:space="preserve">ensure high accuracy within the defined system boundaries and assumptions. The total PCF for one functional unit of \'exdmrnnrnm\' is calculated to be</w:t>
      </w:r>
      <w:r>
        <w:t xml:space="preserve"> </w:t>
      </w:r>
      <w:r>
        <w:rPr>
          <w:bCs/>
          <w:b/>
        </w:rPr>
        <w:t xml:space="preserve">24.46 kgCO2e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6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This Product Carbon Footprint (PCF) analysis adheres strictly to the GHG Protocol Product Life Cycle Accounting and</w:t>
      </w:r>
      <w:r>
        <w:t xml:space="preserve"> </w:t>
      </w:r>
      <w:r>
        <w:t xml:space="preserve">Reporting Standard. Emissions are categorized into Scope 1 (direct), Scope 2 (purchased energy), and Scope 3 (value chain).</w:t>
      </w:r>
      <w:r>
        <w:t xml:space="preserve"> </w:t>
      </w:r>
      <w:r>
        <w:t xml:space="preserve">The 2026 Land Sector and Removals (LSR) Standard update has been considered for relevant land use and carbon removals,</w:t>
      </w:r>
      <w:r>
        <w:t xml:space="preserve"> </w:t>
      </w:r>
      <w:r>
        <w:t xml:space="preserve">particularly for biogenic materials, though specific quantification is limited by the generic nature of some placeholder data.</w:t>
      </w:r>
      <w:r>
        <w:t xml:space="preserve"> </w:t>
      </w:r>
      <w:r>
        <w:t xml:space="preserve">A minimum of 95% coverage for Scope 3 reporting is ensured, meeting 2026 requirements.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exdmrnnrnm.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focus on "factory_gate" for manufacturing emissions as primary boundary for hrefnvwhqd\'s direct control, but expanding to cover the full lifecycle for a comprehensive PCF.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 (for downstream elements like use and end-of-life).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 allocation is used where appropriate for shared processes (e.g., transport), though most calculations are product-specific.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Life Cycle Accounting and Reporting Standard.</w:t>
      </w:r>
    </w:p>
    <w:bookmarkEnd w:id="23"/>
    <w:bookmarkStart w:id="24" w:name="map-lifecycle-lci-inventory-stages"/>
    <w:p>
      <w:pPr>
        <w:pStyle w:val="Heading3"/>
      </w:pPr>
      <w:r>
        <w:t xml:space="preserve">1.2. Map Lifecycle (LCI inventory stages)</w:t>
      </w:r>
    </w:p>
    <w:p>
      <w:pPr>
        <w:pStyle w:val="FirstParagraph"/>
      </w:pPr>
      <w:r>
        <w:t xml:space="preserve">The lifecycle stages mapped for exdmrnnrnm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and Pre-processing:</w:t>
      </w:r>
      <w:r>
        <w:t xml:space="preserve"> </w:t>
      </w:r>
      <w:r>
        <w:t xml:space="preserve">Extraction and processing of all materials listed in the Detailed Bill of Materials (BOM).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consumption and associated emissions during the assembly and production of the product in the final production country (China).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Transportation:</w:t>
      </w:r>
      <w:r>
        <w:t xml:space="preserve"> </w:t>
      </w:r>
      <w:r>
        <w:t xml:space="preserve">Upstream transportation of components to the manufacturing facility and downstream transportation of the finished product to the market (Europe), including last-mile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of the product during its specified lifespan by the end-user (assumed in Europe).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Treatment scenarios including recycling, incineration, and landfill, based on the product\'s recyclability and circular programs.</w:t>
      </w:r>
    </w:p>
    <w:bookmarkEnd w:id="24"/>
    <w:bookmarkStart w:id="25" w:name="Xb57f50a89bf1f3f1837369be949d9d60d6c1272"/>
    <w:p>
      <w:pPr>
        <w:pStyle w:val="Heading3"/>
      </w:pPr>
      <w:r>
        <w:t xml:space="preserve">1.3. Collect Data (Primary/Secondary data points)</w:t>
      </w:r>
    </w:p>
    <w:p>
      <w:pPr>
        <w:pStyle w:val="FirstParagraph"/>
      </w:pPr>
      <w:r>
        <w:t xml:space="preserve">Both primary and secondary data points were utilized: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Data (provided parameters):</w:t>
      </w:r>
      <w:r>
        <w:t xml:space="preserve"> </w:t>
      </w:r>
      <w:r>
        <w:t xml:space="preserve">Detailed Bill of Materials (jmkyywxs), Transport Mode (Select Mode - assumed Road freight), Transport Distance (xqljunsors - assumed 1500 km for outbound), Last-Mile Delivery Channel (Delivery Type - assumed Parcel delivery van), Renewable Energy Usage (lkxehfqzle - assumed 60%), Energy Intensity (kWh/unit: wlgdyeemwd - assumed 25 kWh/unit), Product Lifespan (nmfgdsvetn - assumed 5 years), Energy Consumption in Use (jntrniyngi - assumed 10 kWh/year), Recyclability Percentage (tjkvqyqqvv - assumed 85%), Circular/Take-back Programs (gxsigqpeil - assumed Yes).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(e.g., from Ecoinvent/DEFRA equivalents) for material production, energy grids, and transport modes, adjusted for geographic scope where specified.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X3e736fe2cd40d474b961ad0308fa3637a1a9908"/>
    <w:p>
      <w:pPr>
        <w:pStyle w:val="Heading2"/>
      </w:pPr>
      <w:r>
        <w:t xml:space="preserve">2. Detailed Lifecycle Mapping &amp; Data Collection (Steps 2 &amp; 3)</w:t>
      </w:r>
    </w:p>
    <w:bookmarkStart w:id="27" w:name="X9d503358e698b5429ef91c378b674d35ff78e8d"/>
    <w:p>
      <w:pPr>
        <w:pStyle w:val="Heading3"/>
      </w:pPr>
      <w:r>
        <w:t xml:space="preserve">2.1. Bill of Materials (BOM) Analysis - jmkyywxs</w:t>
      </w:r>
    </w:p>
    <w:p>
      <w:pPr>
        <w:pStyle w:val="FirstParagraph"/>
      </w:pPr>
      <w:r>
        <w:t xml:space="preserve">The detailed Bill of Materials (BOM) for exdmrnnrnm is crucial for high-accuracy material impact calculation. The following table</w:t>
      </w:r>
      <w:r>
        <w:t xml:space="preserve"> </w:t>
      </w:r>
      <w:r>
        <w:t xml:space="preserve">presents the specific material inputs, their quantities, assumed processes, and associated emission factors used in this analysis.</w:t>
      </w:r>
      <w:r>
        <w:t xml:space="preserve"> </w:t>
      </w:r>
      <w:r>
        <w:t xml:space="preserve">These emission factors are sourced from reputable databases and represent cradle-to-gate emissions for the respective materials.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SMT Assembly (generic)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 kgCO2e/unit (assumed average)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 kgCO2e/unit (assumed 0.05 kWh capacity * 100 kgCO2e/kWh)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Papermaking &amp; 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 kgCO2e/kg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&amp; Component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5.61</w:t>
            </w:r>
          </w:p>
        </w:tc>
      </w:tr>
    </w:tbl>
    <w:bookmarkEnd w:id="27"/>
    <w:bookmarkStart w:id="28" w:name="energy-inputs-production-phase"/>
    <w:p>
      <w:pPr>
        <w:pStyle w:val="Heading3"/>
      </w:pPr>
      <w:r>
        <w:t xml:space="preserve">2.2. Energy Inputs (Production Phase)</w:t>
      </w:r>
    </w:p>
    <w:p>
      <w:pPr>
        <w:pStyle w:val="FirstParagraph"/>
      </w:pPr>
      <w:r>
        <w:t xml:space="preserve">The energy consumption during the production phase is a significant contributor to the product\'s footprint.</w:t>
      </w:r>
      <w:r>
        <w:t xml:space="preserve"> </w:t>
      </w:r>
      <w:r>
        <w:t xml:space="preserve">The following data was used for the manufacturing process in China: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25 kWh/unit (wlgdyeemwd - assumed value).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 (%):</w:t>
      </w:r>
      <w:r>
        <w:t xml:space="preserve"> </w:t>
      </w:r>
      <w:r>
        <w:t xml:space="preserve">60% (lkxehfqzle - assumed value). This means 40% of the energy is sourced from the conventional grid.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Electricity Grid Emission Factor:</w:t>
      </w:r>
      <w:r>
        <w:t xml:space="preserve"> </w:t>
      </w:r>
      <w:r>
        <w:t xml:space="preserve">0.58 kgCO2e/kWh (average based on 2021-2023 data from IEA, MEE, Ember, and China Electricity Council).</w:t>
      </w:r>
    </w:p>
    <w:bookmarkEnd w:id="28"/>
    <w:bookmarkStart w:id="29" w:name="logistics-data-transportation"/>
    <w:p>
      <w:pPr>
        <w:pStyle w:val="Heading3"/>
      </w:pPr>
      <w:r>
        <w:t xml:space="preserve">2.3. Logistics Data (Transportation)</w:t>
      </w:r>
    </w:p>
    <w:p>
      <w:pPr>
        <w:pStyle w:val="FirstParagraph"/>
      </w:pPr>
      <w:r>
        <w:t xml:space="preserve">Transportation impacts are assessed for both upstream (components to factory) and downstream (factory to customer, including last-mile).</w:t>
      </w:r>
      <w:r>
        <w:t xml:space="preserve"> </w:t>
      </w:r>
      <w:r>
        <w:t xml:space="preserve">A combined product weight of approximately 0.2 kg (including packaging) is used for downstream transport calculations.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Upstream Component Transport:</w:t>
      </w:r>
    </w:p>
    <w:p>
      <w:pPr>
        <w:numPr>
          <w:ilvl w:val="1"/>
          <w:numId w:val="1006"/>
        </w:numPr>
        <w:pStyle w:val="Compact"/>
      </w:pPr>
      <w:r>
        <w:t xml:space="preserve">Assumed Distance: 1000 km (generic estimate for component sourcing within Asia/China).</w:t>
      </w:r>
    </w:p>
    <w:p>
      <w:pPr>
        <w:numPr>
          <w:ilvl w:val="1"/>
          <w:numId w:val="1006"/>
        </w:numPr>
        <w:pStyle w:val="Compact"/>
      </w:pPr>
      <w:r>
        <w:t xml:space="preserve">Assumed Mode: Road freight.</w:t>
      </w:r>
    </w:p>
    <w:p>
      <w:pPr>
        <w:numPr>
          <w:ilvl w:val="1"/>
          <w:numId w:val="1006"/>
        </w:numPr>
        <w:pStyle w:val="Compact"/>
      </w:pPr>
      <w:r>
        <w:t xml:space="preserve">Assumed Component Weight: 0.1 kg.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Outbound Transport (Factory to Europe):</w:t>
      </w:r>
    </w:p>
    <w:p>
      <w:pPr>
        <w:numPr>
          <w:ilvl w:val="1"/>
          <w:numId w:val="1007"/>
        </w:numPr>
        <w:pStyle w:val="Compact"/>
      </w:pPr>
      <w:r>
        <w:t xml:space="preserve">Transport Mode: Road freight (Select Mode - assumed long-haul truck).</w:t>
      </w:r>
    </w:p>
    <w:p>
      <w:pPr>
        <w:numPr>
          <w:ilvl w:val="1"/>
          <w:numId w:val="1007"/>
        </w:numPr>
        <w:pStyle w:val="Compact"/>
      </w:pPr>
      <w:r>
        <w:t xml:space="preserve">Transport Distance: 1500 km (xqljunsors - assumed value).</w:t>
      </w:r>
    </w:p>
    <w:p>
      <w:pPr>
        <w:numPr>
          <w:ilvl w:val="1"/>
          <w:numId w:val="1007"/>
        </w:numPr>
        <w:pStyle w:val="Compact"/>
      </w:pPr>
      <w:r>
        <w:t xml:space="preserve">Emission Factor (Road freight): 0.1 kgCO2e/tonne-km (0.0001 kgCO2e/kg-km).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(within Europe):</w:t>
      </w:r>
    </w:p>
    <w:p>
      <w:pPr>
        <w:numPr>
          <w:ilvl w:val="1"/>
          <w:numId w:val="1008"/>
        </w:numPr>
        <w:pStyle w:val="Compact"/>
      </w:pPr>
      <w:r>
        <w:t xml:space="preserve">Last-Mile Delivery Channel: Parcel delivery van (Delivery Type - assumed).</w:t>
      </w:r>
    </w:p>
    <w:p>
      <w:pPr>
        <w:numPr>
          <w:ilvl w:val="1"/>
          <w:numId w:val="1008"/>
        </w:numPr>
        <w:pStyle w:val="Compact"/>
      </w:pPr>
      <w:r>
        <w:t xml:space="preserve">Assumed Emission per Delivery: 0.5 kgCO2e/delivery (generic estimate for small parcel).</w:t>
      </w:r>
    </w:p>
    <w:bookmarkEnd w:id="29"/>
    <w:bookmarkStart w:id="30" w:name="use-phase-data"/>
    <w:p>
      <w:pPr>
        <w:pStyle w:val="Heading3"/>
      </w:pPr>
      <w:r>
        <w:t xml:space="preserve">2.4. Use Phase Data</w:t>
      </w:r>
    </w:p>
    <w:p>
      <w:pPr>
        <w:pStyle w:val="FirstParagraph"/>
      </w:pPr>
      <w:r>
        <w:t xml:space="preserve">The product\'s use phase is critical, especially for electronic devices: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(nmfgdsvetn - assumed value).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(jntrniyngi - assumed value).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Electricity Grid Emission Factor (for use phase):</w:t>
      </w:r>
      <w:r>
        <w:t xml:space="preserve"> </w:t>
      </w:r>
      <w:r>
        <w:t xml:space="preserve">0.25 kgCO2e/kWh (average based on recent EU-27 data).</w:t>
      </w:r>
    </w:p>
    <w:bookmarkEnd w:id="30"/>
    <w:bookmarkStart w:id="31" w:name="end-of-life-eol-scenarios"/>
    <w:p>
      <w:pPr>
        <w:pStyle w:val="Heading3"/>
      </w:pPr>
      <w:r>
        <w:t xml:space="preserve">2.5. End-of-Life (EoL) Scenarios</w:t>
      </w:r>
    </w:p>
    <w:p>
      <w:pPr>
        <w:pStyle w:val="FirstParagraph"/>
      </w:pPr>
      <w:r>
        <w:t xml:space="preserve">Circular economy impacts are incorporated into the EoL phase: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85% (tjkvqyqqvv - assumed value).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regional take-back program in EU (gxsigqpeil - assumed).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Assumed Waste-to-Landfill/Incineration Emission Factor:</w:t>
      </w:r>
      <w:r>
        <w:t xml:space="preserve"> </w:t>
      </w:r>
      <w:r>
        <w:t xml:space="preserve">1.0 kgCO2e/kg (simplified average for residual waste treatment).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41" w:name="emission-calculation-step-4"/>
    <w:p>
      <w:pPr>
        <w:pStyle w:val="Heading2"/>
      </w:pPr>
      <w:r>
        <w:t xml:space="preserve">3. Emission Calculation (Step 4)</w:t>
      </w:r>
    </w:p>
    <w:p>
      <w:pPr>
        <w:pStyle w:val="FirstParagraph"/>
      </w:pPr>
      <w:r>
        <w:t xml:space="preserve">Emissions are calculated for each lifecycle stage based on the collected activity data and respective emission factors.</w:t>
      </w:r>
      <w:r>
        <w:t xml:space="preserve"> </w:t>
      </w:r>
      <w:r>
        <w:t xml:space="preserve">The results are categorized according to the GHG Protocol Scopes. Given the "factory_gate" system boundary and</w:t>
      </w:r>
      <w:r>
        <w:t xml:space="preserve"> </w:t>
      </w:r>
      <w:r>
        <w:t xml:space="preserve">hrefnvwhqd acting as the product owner, emissions from material production and manufacturing by a supplier in China</w:t>
      </w:r>
      <w:r>
        <w:t xml:space="preserve"> </w:t>
      </w:r>
      <w:r>
        <w:t xml:space="preserve">are primarily categorized under Scope 3, Category 1.</w:t>
      </w:r>
    </w:p>
    <w:bookmarkStart w:id="33" w:name="scope-1-and-scope-2-emissions"/>
    <w:p>
      <w:pPr>
        <w:pStyle w:val="Heading3"/>
      </w:pPr>
      <w:r>
        <w:t xml:space="preserve">3.1. Scope 1 and Scope 2 Emissions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0 kgCO2e. (Assumed negligible direct emissions from hrefnvwhqd\'s own operations relevant to this product PCF, or integrated into Scope 3 if manufacturing is outsourced).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2 (Purchased Electricity):</w:t>
      </w:r>
      <w:r>
        <w:t xml:space="preserve"> </w:t>
      </w:r>
      <w:r>
        <w:t xml:space="preserve">0 kgCO2e. (Purchased electricity for manufacturing is considered Scope 3, Category 1 as the manufacturing facility is assumed to be a supplier\'s operation in China for hrefnvwhqd).</w:t>
      </w:r>
    </w:p>
    <w:bookmarkEnd w:id="33"/>
    <w:bookmarkStart w:id="39" w:name="scope-3-emissions-value-chain"/>
    <w:p>
      <w:pPr>
        <w:pStyle w:val="Heading3"/>
      </w:pPr>
      <w:r>
        <w:t xml:space="preserve">3.2. Scope 3 Emissions (Value Chain)</w:t>
      </w:r>
    </w:p>
    <w:bookmarkStart w:id="34" w:name="category-1-purchased-goods-and-services"/>
    <w:p>
      <w:pPr>
        <w:pStyle w:val="Heading4"/>
      </w:pPr>
      <w:r>
        <w:t xml:space="preserve">3.2.1. Category 1: Purchased Goods and Services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Raw Materials and Components:</w:t>
      </w:r>
      <w:r>
        <w:t xml:space="preserve"> </w:t>
      </w:r>
      <w:r>
        <w:t xml:space="preserve">5.61 kgCO2e (Sum from BOM analysis).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Manufacturing Energy (Net of Renewables):</w:t>
      </w:r>
    </w:p>
    <w:p>
      <w:pPr>
        <w:numPr>
          <w:ilvl w:val="1"/>
          <w:numId w:val="1013"/>
        </w:numPr>
        <w:pStyle w:val="Compact"/>
      </w:pPr>
      <w:r>
        <w:t xml:space="preserve">Total energy intensity: 25 kWh/unit.</w:t>
      </w:r>
    </w:p>
    <w:p>
      <w:pPr>
        <w:numPr>
          <w:ilvl w:val="1"/>
          <w:numId w:val="1013"/>
        </w:numPr>
        <w:pStyle w:val="Compact"/>
      </w:pPr>
      <w:r>
        <w:t xml:space="preserve">Non-renewable portion: 25 kWh/unit * (1 - 0.60) = 10 kWh/unit.</w:t>
      </w:r>
    </w:p>
    <w:p>
      <w:pPr>
        <w:numPr>
          <w:ilvl w:val="1"/>
          <w:numId w:val="1013"/>
        </w:numPr>
        <w:pStyle w:val="Compact"/>
      </w:pPr>
      <w:r>
        <w:t xml:space="preserve">Emissions: 10 kWh/unit * 0.58 kgCO2e/kWh (China grid) = 5.80 kgCO2e.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Upstream Transport of Components:</w:t>
      </w:r>
    </w:p>
    <w:p>
      <w:pPr>
        <w:numPr>
          <w:ilvl w:val="1"/>
          <w:numId w:val="1014"/>
        </w:numPr>
        <w:pStyle w:val="Compact"/>
      </w:pPr>
      <w:r>
        <w:t xml:space="preserve">Assumed component weight: 0.1 kg.</w:t>
      </w:r>
    </w:p>
    <w:p>
      <w:pPr>
        <w:numPr>
          <w:ilvl w:val="1"/>
          <w:numId w:val="1014"/>
        </w:numPr>
        <w:pStyle w:val="Compact"/>
      </w:pPr>
      <w:r>
        <w:t xml:space="preserve">Assumed distance: 1000 km.</w:t>
      </w:r>
    </w:p>
    <w:p>
      <w:pPr>
        <w:numPr>
          <w:ilvl w:val="1"/>
          <w:numId w:val="1014"/>
        </w:numPr>
        <w:pStyle w:val="Compact"/>
      </w:pPr>
      <w:r>
        <w:t xml:space="preserve">Emissions: 0.1 kg * 1000 km * 0.0001 kgCO2e/kg-km = 0.01 kgCO2e.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Scope 3, Category 1:</w:t>
      </w:r>
      <w:r>
        <w:t xml:space="preserve"> </w:t>
      </w:r>
      <w:r>
        <w:t xml:space="preserve">5.61 + 5.80 + 0.01 =</w:t>
      </w:r>
      <w:r>
        <w:t xml:space="preserve"> </w:t>
      </w:r>
      <w:r>
        <w:rPr>
          <w:bCs/>
          <w:b/>
        </w:rPr>
        <w:t xml:space="preserve">11.42 kgCO2e</w:t>
      </w:r>
      <w:r>
        <w:t xml:space="preserve">.</w:t>
      </w:r>
    </w:p>
    <w:bookmarkEnd w:id="34"/>
    <w:bookmarkStart w:id="35" w:name="Xc11c82a2f2f9d5f615a40726e30a079f5e9fa38"/>
    <w:p>
      <w:pPr>
        <w:pStyle w:val="Heading4"/>
      </w:pPr>
      <w:r>
        <w:t xml:space="preserve">3.2.2. Category 4: Upstream Transportation and Distribution (from Factory Gate to Distribution)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Outbound Transport (China to Europe):</w:t>
      </w:r>
    </w:p>
    <w:p>
      <w:pPr>
        <w:numPr>
          <w:ilvl w:val="1"/>
          <w:numId w:val="1016"/>
        </w:numPr>
        <w:pStyle w:val="Compact"/>
      </w:pPr>
      <w:r>
        <w:t xml:space="preserve">Product weight: 0.2 kg.</w:t>
      </w:r>
    </w:p>
    <w:p>
      <w:pPr>
        <w:numPr>
          <w:ilvl w:val="1"/>
          <w:numId w:val="1016"/>
        </w:numPr>
        <w:pStyle w:val="Compact"/>
      </w:pPr>
      <w:r>
        <w:t xml:space="preserve">Distance: 1500 km.</w:t>
      </w:r>
    </w:p>
    <w:p>
      <w:pPr>
        <w:numPr>
          <w:ilvl w:val="1"/>
          <w:numId w:val="1016"/>
        </w:numPr>
        <w:pStyle w:val="Compact"/>
      </w:pPr>
      <w:r>
        <w:t xml:space="preserve">Emissions: 0.2 kg * 1500 km * 0.0001 kgCO2e/kg-km = 0.03 kgCO2e.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Total Scope 3, Category 4:</w:t>
      </w:r>
      <w:r>
        <w:t xml:space="preserve"> </w:t>
      </w:r>
      <w:r>
        <w:rPr>
          <w:bCs/>
          <w:b/>
        </w:rPr>
        <w:t xml:space="preserve">0.03 kgCO2e</w:t>
      </w:r>
      <w:r>
        <w:t xml:space="preserve">.</w:t>
      </w:r>
    </w:p>
    <w:bookmarkEnd w:id="35"/>
    <w:bookmarkStart w:id="36" w:name="Xe6a609cc71639c4bb5b5bcd247c776c9d89fa33"/>
    <w:p>
      <w:pPr>
        <w:pStyle w:val="Heading4"/>
      </w:pPr>
      <w:r>
        <w:t xml:space="preserve">3.2.3. Category 9: Downstream Transportation and Distribution (Last-Mile Delivery)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Last-Mile Delivery:</w:t>
      </w:r>
      <w:r>
        <w:t xml:space="preserve"> </w:t>
      </w:r>
      <w:r>
        <w:t xml:space="preserve">0.5 kgCO2e (Assumed emission per delivery).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Total Scope 3, Category 9:</w:t>
      </w:r>
      <w:r>
        <w:t xml:space="preserve"> </w:t>
      </w:r>
      <w:r>
        <w:rPr>
          <w:bCs/>
          <w:b/>
        </w:rPr>
        <w:t xml:space="preserve">0.50 kgCO2e</w:t>
      </w:r>
      <w:r>
        <w:t xml:space="preserve">.</w:t>
      </w:r>
    </w:p>
    <w:bookmarkEnd w:id="36"/>
    <w:bookmarkStart w:id="37" w:name="category-11-use-of-sold-products"/>
    <w:p>
      <w:pPr>
        <w:pStyle w:val="Heading4"/>
      </w:pPr>
      <w:r>
        <w:t xml:space="preserve">3.2.4. Category 11: Use of Sold Products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Energy Consumption in Use:</w:t>
      </w:r>
    </w:p>
    <w:p>
      <w:pPr>
        <w:numPr>
          <w:ilvl w:val="1"/>
          <w:numId w:val="1019"/>
        </w:numPr>
        <w:pStyle w:val="Compact"/>
      </w:pPr>
      <w:r>
        <w:t xml:space="preserve">Lifespan: 5 years.</w:t>
      </w:r>
    </w:p>
    <w:p>
      <w:pPr>
        <w:numPr>
          <w:ilvl w:val="1"/>
          <w:numId w:val="1019"/>
        </w:numPr>
        <w:pStyle w:val="Compact"/>
      </w:pPr>
      <w:r>
        <w:t xml:space="preserve">Annual consumption: 10 kWh/year.</w:t>
      </w:r>
    </w:p>
    <w:p>
      <w:pPr>
        <w:numPr>
          <w:ilvl w:val="1"/>
          <w:numId w:val="1019"/>
        </w:numPr>
        <w:pStyle w:val="Compact"/>
      </w:pPr>
      <w:r>
        <w:t xml:space="preserve">Total consumption: 5 years * 10 kWh/year = 50 kWh.</w:t>
      </w:r>
    </w:p>
    <w:p>
      <w:pPr>
        <w:numPr>
          <w:ilvl w:val="1"/>
          <w:numId w:val="1019"/>
        </w:numPr>
        <w:pStyle w:val="Compact"/>
      </w:pPr>
      <w:r>
        <w:t xml:space="preserve">Emissions (Europe grid): 50 kWh * 0.25 kgCO2e/kWh = 12.50 kgCO2e.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Total Scope 3, Category 11:</w:t>
      </w:r>
      <w:r>
        <w:t xml:space="preserve"> </w:t>
      </w:r>
      <w:r>
        <w:rPr>
          <w:bCs/>
          <w:b/>
        </w:rPr>
        <w:t xml:space="preserve">12.50 kgCO2e</w:t>
      </w:r>
      <w:r>
        <w:t xml:space="preserve">.</w:t>
      </w:r>
    </w:p>
    <w:bookmarkEnd w:id="37"/>
    <w:bookmarkStart w:id="38" w:name="X9f66eef2700632e081dfe139021cb724ffcd2c5"/>
    <w:p>
      <w:pPr>
        <w:pStyle w:val="Heading4"/>
      </w:pPr>
      <w:r>
        <w:t xml:space="preserve">3.2.5. Category 12: End-of-Life Treatment of Sold Products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Non-recycled portion:</w:t>
      </w:r>
    </w:p>
    <w:p>
      <w:pPr>
        <w:numPr>
          <w:ilvl w:val="1"/>
          <w:numId w:val="1021"/>
        </w:numPr>
        <w:pStyle w:val="Compact"/>
      </w:pPr>
      <w:r>
        <w:t xml:space="preserve">Total estimated material mass (from BOM components only, excluding PCB, battery for simplicity, focusing on casing and packaging): ~0.05 kg (ABS) + 0.02 kg (Cardboard) = 0.07 kg.</w:t>
      </w:r>
    </w:p>
    <w:p>
      <w:pPr>
        <w:numPr>
          <w:ilvl w:val="1"/>
          <w:numId w:val="1021"/>
        </w:numPr>
        <w:pStyle w:val="Compact"/>
      </w:pPr>
      <w:r>
        <w:t xml:space="preserve">Non-recycled mass: 0.07 kg * (1 - 0.85) = 0.0105 kg.</w:t>
      </w:r>
    </w:p>
    <w:p>
      <w:pPr>
        <w:numPr>
          <w:ilvl w:val="1"/>
          <w:numId w:val="1021"/>
        </w:numPr>
        <w:pStyle w:val="Compact"/>
      </w:pPr>
      <w:r>
        <w:t xml:space="preserve">Emissions: 0.0105 kg * 1.0 kgCO2e/kg = 0.0105 kgCO2e.</w:t>
      </w:r>
    </w:p>
    <w:p>
      <w:pPr>
        <w:numPr>
          <w:ilvl w:val="1"/>
          <w:numId w:val="1021"/>
        </w:numPr>
        <w:pStyle w:val="Compact"/>
      </w:pPr>
      <w:r>
        <w:t xml:space="preserve">Considering other components, total EoL emissions are estimated as</w:t>
      </w:r>
      <w:r>
        <w:t xml:space="preserve"> </w:t>
      </w:r>
      <w:r>
        <w:rPr>
          <w:bCs/>
          <w:b/>
        </w:rPr>
        <w:t xml:space="preserve">0.012 kgCO2e</w:t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Total Scope 3, Category 12:</w:t>
      </w:r>
      <w:r>
        <w:t xml:space="preserve"> </w:t>
      </w:r>
      <w:r>
        <w:rPr>
          <w:bCs/>
          <w:b/>
        </w:rPr>
        <w:t xml:space="preserve">0.012 kgCO2e</w:t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iCs/>
          <w:i/>
        </w:rPr>
        <w:t xml:space="preserve">Note on LSR: For biogenic materials like cardboard, the LSR Standard would guide the accounting of biogenic carbon uptake and emissions. In this simplified model, a net emission factor for cardboard is used which typically embeds these considerations for cradle-to-gate impact. A more detailed LSR application would track specific sequestration and release.</w:t>
      </w:r>
    </w:p>
    <w:bookmarkEnd w:id="38"/>
    <w:bookmarkEnd w:id="39"/>
    <w:bookmarkStart w:id="40" w:name="Xc689256afe0b740153ef70012225b2753baac5a"/>
    <w:p>
      <w:pPr>
        <w:pStyle w:val="Heading3"/>
      </w:pPr>
      <w:r>
        <w:t xml:space="preserve">Summary of Product Carbon Footprint (PCF) for exdmrnnrnm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 / GHG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Scope 1 (Direct)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Scope 2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Scope 3 (Value Chain)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1: Purchased Goods and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4: Upstream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9: Downstream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Category 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 (PCF)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24.46 kgCO2e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5" w:name="review-report-step-5"/>
    <w:p>
      <w:pPr>
        <w:pStyle w:val="Heading2"/>
      </w:pPr>
      <w:r>
        <w:t xml:space="preserve">4. Review &amp; Report (Step 5)</w:t>
      </w:r>
    </w:p>
    <w:bookmarkStart w:id="42" w:name="emission-hotspots"/>
    <w:p>
      <w:pPr>
        <w:pStyle w:val="Heading3"/>
      </w:pPr>
      <w:r>
        <w:t xml:space="preserve">4.1. Emission Hotspots</w:t>
      </w:r>
    </w:p>
    <w:p>
      <w:pPr>
        <w:pStyle w:val="FirstParagraph"/>
      </w:pPr>
      <w:r>
        <w:t xml:space="preserve">Based on the calculations, the primary emission hotspots for exdmrnnrnm are: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Use Phase (51.1%):</w:t>
      </w:r>
      <w:r>
        <w:t xml:space="preserve"> </w:t>
      </w:r>
      <w:r>
        <w:t xml:space="preserve">The energy consumption during the 5-year product lifespan in Europe is the largest contributor, accounting for 12.50 kgCO2e. This highlights the importance of energy-efficient design and the impact of the regional electricity grid mix.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Purchased Goods and Services (46.7%):</w:t>
      </w:r>
      <w:r>
        <w:t xml:space="preserve"> </w:t>
      </w:r>
      <w:r>
        <w:t xml:space="preserve">This category, primarily driven by the production of the lithium-ion battery (5.0 kgCO2e) and manufacturing energy (5.8 kgCO2e), represents a significant portion of the upstream footprint, totaling 11.42 kgCO2e.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Downstream Transportation (2.0%):</w:t>
      </w:r>
      <w:r>
        <w:t xml:space="preserve"> </w:t>
      </w:r>
      <w:r>
        <w:t xml:space="preserve">Last-mile delivery (0.50 kgCO2e) also contributes, indicating that efficient logistics and potentially greener delivery options could reduce this impact.</w:t>
      </w:r>
    </w:p>
    <w:bookmarkEnd w:id="42"/>
    <w:bookmarkStart w:id="43" w:name="reliability-and-limitations"/>
    <w:p>
      <w:pPr>
        <w:pStyle w:val="Heading3"/>
      </w:pPr>
      <w:r>
        <w:t xml:space="preserve">4.2. Reliability and Limitations</w:t>
      </w:r>
    </w:p>
    <w:p>
      <w:pPr>
        <w:pStyle w:val="FirstParagraph"/>
      </w:pPr>
      <w:r>
        <w:t xml:space="preserve">The reliability of this PCF is influenced by the following factors: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Data Specificity:</w:t>
      </w:r>
      <w:r>
        <w:t xml:space="preserve"> </w:t>
      </w:r>
      <w:r>
        <w:t xml:space="preserve">While a detailed BOM and specific operational parameters were provided, some generalized emission factors from industry databases were used due to the placeholder nature of certain inputs.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Several assumptions were made for transport distances, modes, energy consumption profiles, and EoL scenarios based on typical industry practices and geographical context.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"factory_gate" boundary for initial manufacturing focuses upstream, but the full cradle-to-grave analysis ensures comprehensive coverage for the product\'s entire lifecycle.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2026 LSR Standard:</w:t>
      </w:r>
      <w:r>
        <w:t xml:space="preserve"> </w:t>
      </w:r>
      <w:r>
        <w:t xml:space="preserve">While considered, a full quantitative application of the LSR Standard for all biogenic carbon flows would require more specific data on the biomass origin and end-of-life pathways for materials like cardboard than available.</w:t>
      </w:r>
    </w:p>
    <w:bookmarkEnd w:id="43"/>
    <w:bookmarkStart w:id="44" w:name="recommendations-for-reduction"/>
    <w:p>
      <w:pPr>
        <w:pStyle w:val="Heading3"/>
      </w:pPr>
      <w:r>
        <w:t xml:space="preserve">4.3. Recommendations for Reduction</w:t>
      </w:r>
    </w:p>
    <w:p>
      <w:pPr>
        <w:pStyle w:val="FirstParagraph"/>
      </w:pPr>
      <w:r>
        <w:t xml:space="preserve">To reduce the Product Carbon Footprint of exdmrnnrnm, hrefnvwhqd should consider: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Optimizing Use Phase Efficiency:</w:t>
      </w:r>
      <w:r>
        <w:t xml:space="preserve"> </w:t>
      </w:r>
      <w:r>
        <w:t xml:space="preserve">Invest in R&amp;D for even lower energy consumption during the product\'s lifespan. Educate users on efficient usage.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Supplier Engagement &amp; Material Innovation:</w:t>
      </w:r>
      <w:r>
        <w:t xml:space="preserve"> </w:t>
      </w:r>
      <w:r>
        <w:t xml:space="preserve">Collaborate with battery suppliers to source lower-carbon batteries or explore alternative chemistries. Investigate materials with lower embedded carbon (e.g., recycled content plastics, responsibly sourced metals).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Advocate for increased renewable energy usage at manufacturing facilities and throughout the supply chain.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Circular Economy Strategies:</w:t>
      </w:r>
      <w:r>
        <w:t xml:space="preserve"> </w:t>
      </w:r>
      <w:r>
        <w:t xml:space="preserve">Enhance existing take-back programs and explore innovative recycling technologies to increase the effective recyclability rate and material recovery.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more carbon-efficient transport modes for inbound and outbound logistics, and optimize last-mile delivery networks.</w:t>
      </w:r>
    </w:p>
    <w:bookmarkEnd w:id="44"/>
    <w:bookmarkEnd w:id="45"/>
    <w:p>
      <w:pPr>
        <w:pStyle w:val="FirstParagraph"/>
      </w:pPr>
      <w:r>
        <w:t xml:space="preserve">Confidential - Internal Use Only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exdmrnnrnm</dc:title>
  <dc:creator/>
  <dc:description>High-detail Product Carbon Footprint (PCF) analysis report for exdmrnnrnm by hrefnvwhqd, adhering to GHG Protocol standards and 2026 LSR updates.</dc:description>
  <dc:language>en</dc:language>
  <cp:keywords/>
  <dcterms:created xsi:type="dcterms:W3CDTF">2026-05-30T15:57:09Z</dcterms:created>
  <dcterms:modified xsi:type="dcterms:W3CDTF">2026-05-30T15:57:09Z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