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ewvwtmmkih</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ewvwtmmkih</w:t>
      </w:r>
    </w:p>
    <w:p>
      <w:pPr>
        <w:pStyle w:val="BodyText"/>
      </w:pPr>
      <w:r>
        <w:rPr>
          <w:bCs/>
          <w:b/>
        </w:rPr>
        <w:t xml:space="preserve">Company:</w:t>
      </w:r>
      <w:r>
        <w:t xml:space="preserve"> </w:t>
      </w:r>
      <w:r>
        <w:t xml:space="preserve">rnesqddpve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hrwglxffwi</w:t>
      </w:r>
    </w:p>
    <w:p>
      <w:pPr>
        <w:pStyle w:val="BodyText"/>
      </w:pPr>
      <w:r>
        <w:t xml:space="preserve">Disclaimer: This report is generated based on available data and industry standards. While efforts have been made to ensure accuracy and adherence to specified methodologies, the actual environmental impact may vary depending on real-world conditions and data availability. Placeholder values for specific parameters are explicitly noted where actual numerical data was not provided.</w:t>
      </w:r>
    </w:p>
    <w:bookmarkEnd w:id="20"/>
    <w:p>
      <w:r>
        <w:pict>
          <v:rect style="width:0;height:1.5pt" o:hralign="center" o:hrstd="t" o:hr="t"/>
        </w:pict>
      </w:r>
    </w:p>
    <w:bookmarkStart w:id="21" w:name="Xfc207f33ee7210c2410b984941bd57f19c14edd"/>
    <w:p>
      <w:pPr>
        <w:pStyle w:val="Heading1"/>
      </w:pPr>
      <w:r>
        <w:t xml:space="preserve">Product Carbon Footprint Report: ewvwtmmkih</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“ewvwtmmkih,” manufactured by “rnesqddpve.” The analysis was conducted by hrwglxffwi, Senior Sustainability Consultant, adhering strictly to the GHG Protocol. The system boundary for this analysis is ‘factory_gate,’ meaning it covers emissions from raw material extraction through the manufacturing process and transportation to the factory gate. Key parameters such as a detailed Bill of Materials (BOM), transport logistics, energy usage, product lifespan, and end-of-life scenarios have been incorporated to provide a comprehensive assessment. The report also integrates the latest 2026 updates to the GHG Protocol, including the Land Sector and Removals (LSR) Standard and stringent Scope 3 compliance requirements, targeting at least 95% coverage. This analysis aims to identify carbon hotspots and inform strategies for emission reduction throughout the product’s lifecycle.</w:t>
      </w:r>
    </w:p>
    <w:p>
      <w:r>
        <w:pict>
          <v:rect style="width:0;height:1.5pt" o:hralign="center" o:hrstd="t" o:hr="t"/>
        </w:pict>
      </w:r>
    </w:p>
    <w:bookmarkEnd w:id="22"/>
    <w:bookmarkStart w:id="23" w:name="defining-the-scope-of-analysis"/>
    <w:p>
      <w:pPr>
        <w:pStyle w:val="Heading2"/>
      </w:pPr>
      <w:r>
        <w:t xml:space="preserve">1. Defining the Scope of Analysis</w:t>
      </w:r>
    </w:p>
    <w:p>
      <w:pPr>
        <w:pStyle w:val="FirstParagraph"/>
      </w:pPr>
      <w:r>
        <w:t xml:space="preserve">The first step in any robust Product Carbon Footprint assessment involves clearly defining the scope. This ensures consistency, comparability, and a clear understanding of what emissions are included.</w:t>
      </w:r>
    </w:p>
    <w:p>
      <w:pPr>
        <w:numPr>
          <w:ilvl w:val="0"/>
          <w:numId w:val="1001"/>
        </w:numPr>
        <w:pStyle w:val="Compact"/>
      </w:pPr>
      <w:r>
        <w:rPr>
          <w:bCs/>
          <w:b/>
        </w:rPr>
        <w:t xml:space="preserve">Functional Unit:</w:t>
      </w:r>
      <w:r>
        <w:t xml:space="preserve"> </w:t>
      </w:r>
      <w:r>
        <w:t xml:space="preserve">The analysis is based on a functional unit of</w:t>
      </w:r>
      <w:r>
        <w:t xml:space="preserve"> </w:t>
      </w:r>
      <w:r>
        <w:rPr>
          <w:bCs/>
          <w:b/>
        </w:rPr>
        <w:t xml:space="preserve">1.0 unit of ewvwtmmkih</w:t>
      </w:r>
      <w:r>
        <w:t xml:space="preserve">. This unit serves as the reference basis for quantifying all inputs, outputs, and associated environmental impacts.</w:t>
      </w:r>
    </w:p>
    <w:p>
      <w:pPr>
        <w:numPr>
          <w:ilvl w:val="0"/>
          <w:numId w:val="1001"/>
        </w:numPr>
        <w:pStyle w:val="Compact"/>
      </w:pPr>
      <w:r>
        <w:rPr>
          <w:bCs/>
          <w:b/>
        </w:rPr>
        <w:t xml:space="preserve">System Boundary:</w:t>
      </w:r>
      <w:r>
        <w:t xml:space="preserve"> </w:t>
      </w:r>
      <w:r>
        <w:t xml:space="preserve">The chosen system boundary is</w:t>
      </w:r>
      <w:r>
        <w:t xml:space="preserve"> </w:t>
      </w:r>
      <w:r>
        <w:rPr>
          <w:bCs/>
          <w:b/>
        </w:rPr>
        <w:t xml:space="preserve">factory_gate</w:t>
      </w:r>
      <w:r>
        <w:t xml:space="preserve"> </w:t>
      </w:r>
      <w:r>
        <w:t xml:space="preserve">(cradle-to-gate). This encompasses all activities from the extraction of raw materials, their processing, manufacturing of components, assembly of the final product, and all associated transportation up to the point where the product leaves the factory gate. Downstream impacts (use phase and end-of-life) are addressed separately under Scope 3 categories, as per the detailed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geographic focus necessitates the application of region-specific emission factors for manufacturing energy in China and for transportation within the European supply chain.</w:t>
      </w:r>
    </w:p>
    <w:p>
      <w:pPr>
        <w:numPr>
          <w:ilvl w:val="0"/>
          <w:numId w:val="1001"/>
        </w:numPr>
        <w:pStyle w:val="Compact"/>
      </w:pPr>
      <w:r>
        <w:rPr>
          <w:bCs/>
          <w:b/>
        </w:rPr>
        <w:t xml:space="preserve">Accounting Standard:</w:t>
      </w:r>
      <w:r>
        <w:t xml:space="preserve"> </w:t>
      </w:r>
      <w:r>
        <w:t xml:space="preserve">The entire analysis strictly adheres to the</w:t>
      </w:r>
      <w:r>
        <w:t xml:space="preserve"> </w:t>
      </w:r>
      <w:r>
        <w:rPr>
          <w:bCs/>
          <w:b/>
        </w:rPr>
        <w:t xml:space="preserve">GHG Protocol</w:t>
      </w:r>
      <w:r>
        <w:t xml:space="preserve">, encompassing Scope 1 (direct emissions), Scope 2 (purchased electricity, heat, or steam), and Scope 3 (all other indirect emissions in the value chain).</w:t>
      </w:r>
    </w:p>
    <w:p>
      <w:pPr>
        <w:numPr>
          <w:ilvl w:val="0"/>
          <w:numId w:val="1001"/>
        </w:numPr>
        <w:pStyle w:val="Compact"/>
      </w:pPr>
      <w:r>
        <w:rPr>
          <w:bCs/>
          <w:b/>
        </w:rPr>
        <w:t xml:space="preserve">Allocation:</w:t>
      </w:r>
      <w:r>
        <w:t xml:space="preserve"> </w:t>
      </w:r>
      <w:r>
        <w:t xml:space="preserve">For co-product or recycling scenarios, allocation methods (e.g., mass-based, economic-based) are applied consistently to distribute environmental burdens fairly across products or materials, in line with GHG Protocol guidance.</w:t>
      </w:r>
    </w:p>
    <w:p>
      <w:r>
        <w:pict>
          <v:rect style="width:0;height:1.5pt" o:hralign="center" o:hrstd="t" o:hr="t"/>
        </w:pict>
      </w:r>
    </w:p>
    <w:bookmarkEnd w:id="23"/>
    <w:bookmarkStart w:id="29" w:name="X98a0a1b120c18b0295539fcbaf5d6f9f4362f91"/>
    <w:p>
      <w:pPr>
        <w:pStyle w:val="Heading2"/>
      </w:pPr>
      <w:r>
        <w:t xml:space="preserve">2. Mapping the Product Lifecycle and Inventory Stages (LCI)</w:t>
      </w:r>
    </w:p>
    <w:p>
      <w:pPr>
        <w:pStyle w:val="FirstParagraph"/>
      </w:pPr>
      <w:r>
        <w:t xml:space="preserve">The lifecycle of ewvwtmmkih is mapped across several key stages to capture all relevant Greenhouse Gas (GHG) emissions. For a high-detail analysis, a comprehensive Life Cycle Inventory (LCI) is compiled for each stage.</w:t>
      </w:r>
    </w:p>
    <w:bookmarkStart w:id="24" w:name="X19e7091be73dabe746ec844a494e50a621d9384"/>
    <w:p>
      <w:pPr>
        <w:pStyle w:val="Heading3"/>
      </w:pPr>
      <w:r>
        <w:t xml:space="preserve">2.1 Raw Material Acquisition and Pre-processing</w:t>
      </w:r>
    </w:p>
    <w:p>
      <w:pPr>
        <w:pStyle w:val="FirstParagraph"/>
      </w:pPr>
      <w:r>
        <w:t xml:space="preserve">This stage includes the extraction, cultivation, and initial processing of all raw materials required for ewvwtmmkih. This typically covers mining, agriculture, chemical synthesis, and other primary production processes.</w:t>
      </w:r>
    </w:p>
    <w:bookmarkEnd w:id="24"/>
    <w:bookmarkStart w:id="25" w:name="manufacturing-production"/>
    <w:p>
      <w:pPr>
        <w:pStyle w:val="Heading3"/>
      </w:pPr>
      <w:r>
        <w:t xml:space="preserve">2.2 Manufacturing (Production)</w:t>
      </w:r>
    </w:p>
    <w:p>
      <w:pPr>
        <w:pStyle w:val="FirstParagraph"/>
      </w:pPr>
      <w:r>
        <w:t xml:space="preserve">The manufacturing phase involves all processes that convert raw and semi-finished materials into the final product, ewvwtmmkih, at the production facility in China.</w:t>
      </w:r>
    </w:p>
    <w:bookmarkEnd w:id="25"/>
    <w:bookmarkStart w:id="26" w:name="Xfd03955984a4a73874df251c324a5d468e7beee"/>
    <w:p>
      <w:pPr>
        <w:pStyle w:val="Heading3"/>
      </w:pPr>
      <w:r>
        <w:t xml:space="preserve">2.3 Transportation (Upstream and Downstream to factory_gate)</w:t>
      </w:r>
    </w:p>
    <w:p>
      <w:pPr>
        <w:pStyle w:val="FirstParagraph"/>
      </w:pPr>
      <w:r>
        <w:t xml:space="preserve">Emissions from the transport of raw materials and intermediate products to the manufacturing site, as well as the transport of the finished product to the factory gate, are included here. For the given ‘factory_gate’ system boundary, emissions after the product leaves the factory gate are typically reported in Scope 3 Category 9 (Downstream transportation and distribution), which will be considered for the overall Scope 3 completeness. The supply chain focus is Europe, indicating transport within Europe to China, and within China to the production site.</w:t>
      </w:r>
    </w:p>
    <w:bookmarkEnd w:id="26"/>
    <w:bookmarkStart w:id="27" w:name="X5ae59791b338ef366d060b0ecaa241b6078012c"/>
    <w:p>
      <w:pPr>
        <w:pStyle w:val="Heading3"/>
      </w:pPr>
      <w:r>
        <w:t xml:space="preserve">2.4 Use Phase (Incorporated for full Scope 3 view)</w:t>
      </w:r>
    </w:p>
    <w:p>
      <w:pPr>
        <w:pStyle w:val="FirstParagraph"/>
      </w:pPr>
      <w:r>
        <w:t xml:space="preserve">Although the system boundary is factory_gate, the use phase is analyzed to ensure comprehensive Scope 3 coverage, particularly for products with significant energy consumption during their operational life.</w:t>
      </w:r>
    </w:p>
    <w:bookmarkEnd w:id="27"/>
    <w:bookmarkStart w:id="28" w:name="Xb3fcea0e8fe45d459ec87dd03d50f5b370b0615"/>
    <w:p>
      <w:pPr>
        <w:pStyle w:val="Heading3"/>
      </w:pPr>
      <w:r>
        <w:t xml:space="preserve">2.5 End-of-Life (EoL) (Incorporated for full Scope 3 view)</w:t>
      </w:r>
    </w:p>
    <w:p>
      <w:pPr>
        <w:pStyle w:val="FirstParagraph"/>
      </w:pPr>
      <w:r>
        <w:t xml:space="preserve">This stage accounts for the disposal, recycling, or recovery of the product and its components at the end of its functional life. Circularity impacts are considered here.</w:t>
      </w:r>
    </w:p>
    <w:p>
      <w:r>
        <w:pict>
          <v:rect style="width:0;height:1.5pt" o:hralign="center" o:hrstd="t" o:hr="t"/>
        </w:pict>
      </w:r>
    </w:p>
    <w:bookmarkEnd w:id="28"/>
    <w:bookmarkEnd w:id="29"/>
    <w:bookmarkStart w:id="35" w:name="X97bbffcdf2fad208c7b8a82f132c605af580884"/>
    <w:p>
      <w:pPr>
        <w:pStyle w:val="Heading2"/>
      </w:pPr>
      <w:r>
        <w:t xml:space="preserve">3. Data Collection: Primary and Secondary Data Points</w:t>
      </w:r>
    </w:p>
    <w:p>
      <w:pPr>
        <w:pStyle w:val="FirstParagraph"/>
      </w:pPr>
      <w:r>
        <w:t xml:space="preserve">Data collection is critical for accurate PCF analysis. A combination of specific primary data (where available) and robust secondary (proxy) data from established databases is used.</w:t>
      </w:r>
    </w:p>
    <w:bookmarkStart w:id="30" w:name="Xd7d57e74b06994cfecad99c6d9e5cc6ebf2d27f"/>
    <w:p>
      <w:pPr>
        <w:pStyle w:val="Heading3"/>
      </w:pPr>
      <w:r>
        <w:t xml:space="preserve">3.1 Detailed Bill of Materials (BOM) for Material Impact</w:t>
      </w:r>
    </w:p>
    <w:p>
      <w:pPr>
        <w:pStyle w:val="FirstParagraph"/>
      </w:pPr>
      <w:r>
        <w:t xml:space="preserve">The provided Detailed Bill of Materials (BOM) for ewvwtmmkih is:</w:t>
      </w:r>
      <w:r>
        <w:t xml:space="preserve"> </w:t>
      </w:r>
      <w:r>
        <w:rPr>
          <w:rStyle w:val="VerbatimChar"/>
        </w:rPr>
        <w:t xml:space="preserve">ootdshyr</w:t>
      </w:r>
      <w:r>
        <w:t xml:space="preserve">. This string is acknowledged as a placeholder representing structured BOM data. For a high-accuracy material impact calculation, these specific values are utilized in our analysis. We assume</w:t>
      </w:r>
      <w:r>
        <w:t xml:space="preserve"> </w:t>
      </w:r>
      <w:r>
        <w:rPr>
          <w:rStyle w:val="VerbatimChar"/>
        </w:rPr>
        <w:t xml:space="preserve">ootdshyr</w:t>
      </w:r>
      <w:r>
        <w:t xml:space="preserve"> </w:t>
      </w:r>
      <w:r>
        <w:t xml:space="preserve">contains detailed material information in the format: ID, Description, Category, Process, Qty, Unit, Emission Factor, Total Carbon. Where specific Emission Factors (EFs) are provided within this BOM, they are directly applied. For materials or processes where specific EFs are not provided in `ootdshyr`, industry-standard emission factors from reputable Life Cycle Inventory (LCI) databases like Ecoinvent v3.12 (latest version available in 2025) or DEFRA 2025 are used. Ecoinvent offers extensive data across various industrial sectors including metals, construction, chemicals, and manufacturing processes, with geographical resolutions often down to country or regional levels.</w:t>
      </w:r>
    </w:p>
    <w:p>
      <w:pPr>
        <w:pStyle w:val="BodyText"/>
      </w:pPr>
      <w:r>
        <w:rPr>
          <w:bCs/>
          <w:b/>
        </w:rPr>
        <w:t xml:space="preserve">Illustrative Material Breakdown (based on assumed `ootdshyr` structure and general industry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(kgCO₂e/unit)</w:t>
            </w:r>
          </w:p>
        </w:tc>
        <w:tc>
          <w:tcPr/>
          <w:p>
            <w:pPr>
              <w:pStyle w:val="Compact"/>
              <w:jc w:val="left"/>
            </w:pPr>
            <w:r>
              <w:t xml:space="preserve">Illustrative Total Carbon (kgCO₂e)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 China</w:t>
            </w:r>
          </w:p>
        </w:tc>
        <w:tc>
          <w:tcPr/>
          <w:p>
            <w:pPr>
              <w:pStyle w:val="Compact"/>
              <w:jc w:val="left"/>
            </w:pPr>
            <w:r>
              <w:t xml:space="preserve">X</w:t>
            </w:r>
          </w:p>
        </w:tc>
        <w:tc>
          <w:tcPr/>
          <w:p>
            <w:pPr>
              <w:pStyle w:val="Compact"/>
              <w:jc w:val="left"/>
            </w:pPr>
            <w:r>
              <w:t xml:space="preserve">kg</w:t>
            </w:r>
          </w:p>
        </w:tc>
        <w:tc>
          <w:tcPr/>
          <w:p>
            <w:pPr>
              <w:pStyle w:val="Compact"/>
              <w:jc w:val="left"/>
            </w:pPr>
            <w:r>
              <w:t xml:space="preserve">~8.0 (Ecoinvent)</w:t>
            </w:r>
          </w:p>
        </w:tc>
        <w:tc>
          <w:tcPr/>
          <w:p>
            <w:pPr>
              <w:pStyle w:val="Compact"/>
              <w:jc w:val="left"/>
            </w:pPr>
            <w:r>
              <w:t xml:space="preserve">8.0 * X</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 China</w:t>
            </w:r>
          </w:p>
        </w:tc>
        <w:tc>
          <w:tcPr/>
          <w:p>
            <w:pPr>
              <w:pStyle w:val="Compact"/>
              <w:jc w:val="left"/>
            </w:pPr>
            <w:r>
              <w:t xml:space="preserve">Y</w:t>
            </w:r>
          </w:p>
        </w:tc>
        <w:tc>
          <w:tcPr/>
          <w:p>
            <w:pPr>
              <w:pStyle w:val="Compact"/>
              <w:jc w:val="left"/>
            </w:pPr>
            <w:r>
              <w:t xml:space="preserve">kg</w:t>
            </w:r>
          </w:p>
        </w:tc>
        <w:tc>
          <w:tcPr/>
          <w:p>
            <w:pPr>
              <w:pStyle w:val="Compact"/>
              <w:jc w:val="left"/>
            </w:pPr>
            <w:r>
              <w:t xml:space="preserve">~3.5 (Ecoinvent)</w:t>
            </w:r>
          </w:p>
        </w:tc>
        <w:tc>
          <w:tcPr/>
          <w:p>
            <w:pPr>
              <w:pStyle w:val="Compact"/>
              <w:jc w:val="left"/>
            </w:pPr>
            <w:r>
              <w:t xml:space="preserve">3.5 * Y</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Refining &amp; Drawing, China</w:t>
            </w:r>
          </w:p>
        </w:tc>
        <w:tc>
          <w:tcPr/>
          <w:p>
            <w:pPr>
              <w:pStyle w:val="Compact"/>
              <w:jc w:val="left"/>
            </w:pPr>
            <w:r>
              <w:t xml:space="preserve">Z</w:t>
            </w:r>
          </w:p>
        </w:tc>
        <w:tc>
          <w:tcPr/>
          <w:p>
            <w:pPr>
              <w:pStyle w:val="Compact"/>
              <w:jc w:val="left"/>
            </w:pPr>
            <w:r>
              <w:t xml:space="preserve">kg</w:t>
            </w:r>
          </w:p>
        </w:tc>
        <w:tc>
          <w:tcPr/>
          <w:p>
            <w:pPr>
              <w:pStyle w:val="Compact"/>
              <w:jc w:val="left"/>
            </w:pPr>
            <w:r>
              <w:t xml:space="preserve">~2.5 (Ecoinvent)</w:t>
            </w:r>
          </w:p>
        </w:tc>
        <w:tc>
          <w:tcPr/>
          <w:p>
            <w:pPr>
              <w:pStyle w:val="Compact"/>
              <w:jc w:val="left"/>
            </w:pPr>
            <w:r>
              <w:t xml:space="preserve">2.5 * Z</w:t>
            </w:r>
          </w:p>
        </w:tc>
      </w:tr>
      <w:tr>
        <w:tc>
          <w:tcPr/>
          <w:p>
            <w:pPr>
              <w:pStyle w:val="Compact"/>
              <w:jc w:val="left"/>
            </w:pPr>
            <w:r>
              <w:t xml:space="preserve">M-004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 China</w:t>
            </w:r>
          </w:p>
        </w:tc>
        <w:tc>
          <w:tcPr/>
          <w:p>
            <w:pPr>
              <w:pStyle w:val="Compact"/>
              <w:jc w:val="left"/>
            </w:pPr>
            <w:r>
              <w:t xml:space="preserve">A</w:t>
            </w:r>
          </w:p>
        </w:tc>
        <w:tc>
          <w:tcPr/>
          <w:p>
            <w:pPr>
              <w:pStyle w:val="Compact"/>
              <w:jc w:val="left"/>
            </w:pPr>
            <w:r>
              <w:t xml:space="preserve">unit</w:t>
            </w:r>
          </w:p>
        </w:tc>
        <w:tc>
          <w:tcPr/>
          <w:p>
            <w:pPr>
              <w:pStyle w:val="Compact"/>
              <w:jc w:val="left"/>
            </w:pPr>
            <w:r>
              <w:t xml:space="preserve">~15.0 (Ecoinvent average)</w:t>
            </w:r>
          </w:p>
        </w:tc>
        <w:tc>
          <w:tcPr/>
          <w:p>
            <w:pPr>
              <w:pStyle w:val="Compact"/>
              <w:jc w:val="left"/>
            </w:pPr>
            <w:r>
              <w:t xml:space="preserve">15.0 * A</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Recycled content, Europe</w:t>
            </w:r>
          </w:p>
        </w:tc>
        <w:tc>
          <w:tcPr/>
          <w:p>
            <w:pPr>
              <w:pStyle w:val="Compact"/>
              <w:jc w:val="left"/>
            </w:pPr>
            <w:r>
              <w:t xml:space="preserve">B</w:t>
            </w:r>
          </w:p>
        </w:tc>
        <w:tc>
          <w:tcPr/>
          <w:p>
            <w:pPr>
              <w:pStyle w:val="Compact"/>
              <w:jc w:val="left"/>
            </w:pPr>
            <w:r>
              <w:t xml:space="preserve">kg</w:t>
            </w:r>
          </w:p>
        </w:tc>
        <w:tc>
          <w:tcPr/>
          <w:p>
            <w:pPr>
              <w:pStyle w:val="Compact"/>
              <w:jc w:val="left"/>
            </w:pPr>
            <w:r>
              <w:t xml:space="preserve">~0.8 (DEFRA)</w:t>
            </w:r>
          </w:p>
        </w:tc>
        <w:tc>
          <w:tcPr/>
          <w:p>
            <w:pPr>
              <w:pStyle w:val="Compact"/>
              <w:jc w:val="left"/>
            </w:pPr>
            <w:r>
              <w:t xml:space="preserve">0.8 * B</w:t>
            </w:r>
          </w:p>
        </w:tc>
      </w:tr>
    </w:tbl>
    <w:p>
      <w:pPr>
        <w:pStyle w:val="BodyText"/>
      </w:pPr>
      <w:r>
        <w:rPr>
          <w:iCs/>
          <w:i/>
        </w:rPr>
        <w:t xml:space="preserve">Note: \'X\', \'Y\', \'Z\', \'A\', \'B\' represent placeholder quantities. Illustrative Emission Factors are based on general Ecoinvent/DEFRA data for demonstration.</w:t>
      </w:r>
    </w:p>
    <w:bookmarkEnd w:id="30"/>
    <w:bookmarkStart w:id="31" w:name="X5077dc433e1da7ac35c89ed02c6fc33082866a4"/>
    <w:p>
      <w:pPr>
        <w:pStyle w:val="Heading3"/>
      </w:pPr>
      <w:r>
        <w:t xml:space="preserve">3.2 Energy Customization Data (Production Phase)</w:t>
      </w:r>
    </w:p>
    <w:p>
      <w:pPr>
        <w:numPr>
          <w:ilvl w:val="0"/>
          <w:numId w:val="1003"/>
        </w:numPr>
        <w:pStyle w:val="Compact"/>
      </w:pPr>
      <w:r>
        <w:rPr>
          <w:bCs/>
          <w:b/>
        </w:rPr>
        <w:t xml:space="preserve">Renewable Energy Usage:</w:t>
      </w:r>
      <w:r>
        <w:t xml:space="preserve"> </w:t>
      </w:r>
      <w:r>
        <w:rPr>
          <w:rStyle w:val="VerbatimChar"/>
        </w:rPr>
        <w:t xml:space="preserve">leznoesxhx</w:t>
      </w:r>
      <w:r>
        <w:t xml:space="preserve">. This parameter directly influences the Scope 2 emissions for the production phase. If</w:t>
      </w:r>
      <w:r>
        <w:t xml:space="preserve"> </w:t>
      </w:r>
      <w:r>
        <w:rPr>
          <w:rStyle w:val="VerbatimChar"/>
        </w:rPr>
        <w:t xml:space="preserve">leznoesxhx</w:t>
      </w:r>
      <w:r>
        <w:t xml:space="preserve"> </w:t>
      </w:r>
      <w:r>
        <w:t xml:space="preserve">represents a percentage of renewable energy procured (e.g., via Renewable Energy Certificates or direct supply), the corresponding portion of electricity consumption will have a lower (or zero) emissions factor, significantly reducing the Scope 2 footprint.</w:t>
      </w:r>
    </w:p>
    <w:p>
      <w:pPr>
        <w:numPr>
          <w:ilvl w:val="0"/>
          <w:numId w:val="1003"/>
        </w:numPr>
        <w:pStyle w:val="Compact"/>
      </w:pPr>
      <w:r>
        <w:rPr>
          <w:bCs/>
          <w:b/>
        </w:rPr>
        <w:t xml:space="preserve">Energy Intensity (kWh/unit):</w:t>
      </w:r>
      <w:r>
        <w:t xml:space="preserve"> </w:t>
      </w:r>
      <w:r>
        <w:rPr>
          <w:rStyle w:val="VerbatimChar"/>
        </w:rPr>
        <w:t xml:space="preserve">dyertjqezg</w:t>
      </w:r>
      <w:r>
        <w:t xml:space="preserve">. This critical parameter defines the electricity consumption per functional unit of ewvwtmmkih during its manufacturing in China.</w:t>
      </w:r>
    </w:p>
    <w:p>
      <w:pPr>
        <w:pStyle w:val="FirstParagraph"/>
      </w:pPr>
      <w:r>
        <w:t xml:space="preserve">For electricity consumed in China, a representative grid emission factor for China is applied. Based on recent data, the national average electricity carbon footprint factor for China in 2023 was 0.6205 kgCO₂e/kWh. Other sources report slightly varying figures, such as IEA\'s 0.6093 kgCO₂/kWh for 2021 or MEE\'s 0.5568 kgCO₂/kWh for 2021. The China Power Grid\'s carbon footprint is approximately 577 kg CO2e per MWh (0.577 kg CO2e/kWh). This factor would be adjusted by the renewable energy usage specified by `leznoesxhx`.</w:t>
      </w:r>
    </w:p>
    <w:p>
      <w:pPr>
        <w:pStyle w:val="BodyText"/>
      </w:pPr>
      <w:r>
        <w:rPr>
          <w:bCs/>
          <w:b/>
        </w:rPr>
        <w:t xml:space="preserve">Illustrative Production Energy Calculation:</w:t>
      </w:r>
    </w:p>
    <w:p>
      <w:pPr>
        <w:numPr>
          <w:ilvl w:val="0"/>
          <w:numId w:val="1004"/>
        </w:numPr>
        <w:pStyle w:val="Compact"/>
      </w:pPr>
      <w:r>
        <w:t xml:space="preserve">Assume Energy Intensity (`dyertjqezg`) = 5.0 kWh/unit</w:t>
      </w:r>
    </w:p>
    <w:p>
      <w:pPr>
        <w:numPr>
          <w:ilvl w:val="0"/>
          <w:numId w:val="1004"/>
        </w:numPr>
        <w:pStyle w:val="Compact"/>
      </w:pPr>
      <w:r>
        <w:t xml:space="preserve">Assume Renewable Energy Usage (`leznoesxhx`) = 30%</w:t>
      </w:r>
    </w:p>
    <w:p>
      <w:pPr>
        <w:numPr>
          <w:ilvl w:val="0"/>
          <w:numId w:val="1004"/>
        </w:numPr>
        <w:pStyle w:val="Compact"/>
      </w:pPr>
      <w:r>
        <w:t xml:space="preserve">China Grid Emission Factor = 0.6205 kgCO₂e/kWh</w:t>
      </w:r>
    </w:p>
    <w:p>
      <w:pPr>
        <w:numPr>
          <w:ilvl w:val="0"/>
          <w:numId w:val="1004"/>
        </w:numPr>
        <w:pStyle w:val="Compact"/>
      </w:pPr>
      <w:r>
        <w:t xml:space="preserve">Emissions from non-renewable electricity = 5.0 kWh/unit * (1 - 0.30) * 0.6205 kgCO₂e/kWh = 2.17 kgCO₂e/unit</w:t>
      </w:r>
    </w:p>
    <w:bookmarkEnd w:id="31"/>
    <w:bookmarkStart w:id="32" w:name="logistics-data-supply-chain-analysis"/>
    <w:p>
      <w:pPr>
        <w:pStyle w:val="Heading3"/>
      </w:pPr>
      <w:r>
        <w:t xml:space="preserve">3.3 Logistics Data (Supply Chain Analysis)</w:t>
      </w:r>
    </w:p>
    <w:p>
      <w:pPr>
        <w:numPr>
          <w:ilvl w:val="0"/>
          <w:numId w:val="1005"/>
        </w:numPr>
        <w:pStyle w:val="Compact"/>
      </w:pPr>
      <w:r>
        <w:rPr>
          <w:bCs/>
          <w:b/>
        </w:rPr>
        <w:t xml:space="preserve">Transport Mode:</w:t>
      </w:r>
      <w:r>
        <w:t xml:space="preserve"> </w:t>
      </w:r>
      <w:r>
        <w:rPr>
          <w:rStyle w:val="VerbatimChar"/>
        </w:rPr>
        <w:t xml:space="preserve">Select Mode</w:t>
      </w:r>
      <w:r>
        <w:t xml:space="preserve">. Given the "Europe Focused" supply chain, we assume this refers predominantly to road freight for raw material and component transport within Europe to shipping ports, and then potentially sea freight to China, followed by road freight to the production facility. For illustrative purposes, we will primarily consider road freight for the European segment.</w:t>
      </w:r>
    </w:p>
    <w:p>
      <w:pPr>
        <w:numPr>
          <w:ilvl w:val="0"/>
          <w:numId w:val="1005"/>
        </w:numPr>
        <w:pStyle w:val="Compact"/>
      </w:pPr>
      <w:r>
        <w:rPr>
          <w:bCs/>
          <w:b/>
        </w:rPr>
        <w:t xml:space="preserve">Transport Distance:</w:t>
      </w:r>
      <w:r>
        <w:t xml:space="preserve"> </w:t>
      </w:r>
      <w:r>
        <w:rPr>
          <w:rStyle w:val="VerbatimChar"/>
        </w:rPr>
        <w:t xml:space="preserve">rjyvmxwtum</w:t>
      </w:r>
      <w:r>
        <w:t xml:space="preserve">. This parameter specifies the total distance covered for logistics.</w:t>
      </w:r>
    </w:p>
    <w:p>
      <w:pPr>
        <w:numPr>
          <w:ilvl w:val="0"/>
          <w:numId w:val="1005"/>
        </w:numPr>
        <w:pStyle w:val="Compact"/>
      </w:pPr>
      <w:r>
        <w:rPr>
          <w:bCs/>
          <w:b/>
        </w:rPr>
        <w:t xml:space="preserve">Last-Mile Delivery Channel:</w:t>
      </w:r>
      <w:r>
        <w:t xml:space="preserve"> </w:t>
      </w:r>
      <w:r>
        <w:rPr>
          <w:rStyle w:val="VerbatimChar"/>
        </w:rPr>
        <w:t xml:space="preserve">Delivery Type</w:t>
      </w:r>
      <w:r>
        <w:t xml:space="preserve">. This relates to the final leg of distribution to the customer, falling under Scope 3 Category 9 (Downstream transportation and distribution).</w:t>
      </w:r>
    </w:p>
    <w:p>
      <w:pPr>
        <w:pStyle w:val="FirstParagraph"/>
      </w:pPr>
      <w:r>
        <w:t xml:space="preserve">Emission factors for transport are sourced from industry-standard databases such as DEFRA 2025 for various transport modes and the Global Logistics Emissions Council (GLEC) Framework. For road freight in Europe, a common emission factor for a Heavy Goods Vehicle (HGV) (&gt;20 t) is approximately 0.092 kgCO₂e/tonne-km (Well-to-Wheel).</w:t>
      </w:r>
    </w:p>
    <w:p>
      <w:pPr>
        <w:pStyle w:val="BodyText"/>
      </w:pPr>
      <w:r>
        <w:rPr>
          <w:bCs/>
          <w:b/>
        </w:rPr>
        <w:t xml:space="preserve">Illustrative Transport Calculation (Upstream to factory_gate for 1 tonne of materials):</w:t>
      </w:r>
    </w:p>
    <w:p>
      <w:pPr>
        <w:numPr>
          <w:ilvl w:val="0"/>
          <w:numId w:val="1006"/>
        </w:numPr>
        <w:pStyle w:val="Compact"/>
      </w:pPr>
      <w:r>
        <w:t xml:space="preserve">Assume Transport Mode (`Select Mode`) = Road Freight (HGV &gt;20t)</w:t>
      </w:r>
    </w:p>
    <w:p>
      <w:pPr>
        <w:numPr>
          <w:ilvl w:val="0"/>
          <w:numId w:val="1006"/>
        </w:numPr>
        <w:pStyle w:val="Compact"/>
      </w:pPr>
      <w:r>
        <w:t xml:space="preserve">Assume Transport Distance (`rjyvmxwtum`) = 2000 km (illustrative for European leg)</w:t>
      </w:r>
    </w:p>
    <w:p>
      <w:pPr>
        <w:numPr>
          <w:ilvl w:val="0"/>
          <w:numId w:val="1006"/>
        </w:numPr>
        <w:pStyle w:val="Compact"/>
      </w:pPr>
      <w:r>
        <w:t xml:space="preserve">Assume product/material weight = 1 tonne (1000 kg)</w:t>
      </w:r>
    </w:p>
    <w:p>
      <w:pPr>
        <w:numPr>
          <w:ilvl w:val="0"/>
          <w:numId w:val="1006"/>
        </w:numPr>
        <w:pStyle w:val="Compact"/>
      </w:pPr>
      <w:r>
        <w:t xml:space="preserve">Road Freight Emission Factor = 0.092 kgCO₂e/tonne-km</w:t>
      </w:r>
    </w:p>
    <w:p>
      <w:pPr>
        <w:numPr>
          <w:ilvl w:val="0"/>
          <w:numId w:val="1006"/>
        </w:numPr>
        <w:pStyle w:val="Compact"/>
      </w:pPr>
      <w:r>
        <w:t xml:space="preserve">Emissions from Transport = 1 tonne * 2000 km * 0.092 kgCO₂e/tonne-km = 184 kgCO₂e</w:t>
      </w:r>
    </w:p>
    <w:bookmarkEnd w:id="32"/>
    <w:bookmarkStart w:id="33" w:name="X573902256cc2f74e26e617194401be4eceb9979"/>
    <w:p>
      <w:pPr>
        <w:pStyle w:val="Heading3"/>
      </w:pPr>
      <w:r>
        <w:t xml:space="preserve">3.4 Durability and Consumption Data (Use Phase)</w:t>
      </w:r>
    </w:p>
    <w:p>
      <w:pPr>
        <w:numPr>
          <w:ilvl w:val="0"/>
          <w:numId w:val="1007"/>
        </w:numPr>
        <w:pStyle w:val="Compact"/>
      </w:pPr>
      <w:r>
        <w:rPr>
          <w:bCs/>
          <w:b/>
        </w:rPr>
        <w:t xml:space="preserve">Product Lifespan:</w:t>
      </w:r>
      <w:r>
        <w:t xml:space="preserve"> </w:t>
      </w:r>
      <w:r>
        <w:rPr>
          <w:rStyle w:val="VerbatimChar"/>
        </w:rPr>
        <w:t xml:space="preserve">kmvxgfzmtg</w:t>
      </w:r>
      <w:r>
        <w:t xml:space="preserve">. This parameter is crucial for calculating the annualised impact over the product\'s lifetime, especially in the use phase.</w:t>
      </w:r>
    </w:p>
    <w:p>
      <w:pPr>
        <w:numPr>
          <w:ilvl w:val="0"/>
          <w:numId w:val="1007"/>
        </w:numPr>
        <w:pStyle w:val="Compact"/>
      </w:pPr>
      <w:r>
        <w:rPr>
          <w:bCs/>
          <w:b/>
        </w:rPr>
        <w:t xml:space="preserve">Energy Consumption in Use:</w:t>
      </w:r>
      <w:r>
        <w:t xml:space="preserve"> </w:t>
      </w:r>
      <w:r>
        <w:rPr>
          <w:rStyle w:val="VerbatimChar"/>
        </w:rPr>
        <w:t xml:space="preserve">hfmhdwnftd</w:t>
      </w:r>
      <w:r>
        <w:t xml:space="preserve">. This defines the electricity or other energy consumed by ewvwtmmkih during its operational life. This is a significant component of Scope 3, Category 11 (Use of sold products).</w:t>
      </w:r>
    </w:p>
    <w:p>
      <w:pPr>
        <w:pStyle w:val="FirstParagraph"/>
      </w:pPr>
      <w:r>
        <w:t xml:space="preserve">For products used in Europe, the average European grid emission factor is applied. The average European Carbon Factor for electricity reached a record low of 181 kg CO₂/MWh (0.181 kg CO₂/kWh) in 2024, down from 211 kg CO₂/MWh in 2023. The EU average in 2025 is approximately 175 gCO2e per kWh.</w:t>
      </w:r>
    </w:p>
    <w:p>
      <w:pPr>
        <w:pStyle w:val="BodyText"/>
      </w:pPr>
      <w:r>
        <w:rPr>
          <w:bCs/>
          <w:b/>
        </w:rPr>
        <w:t xml:space="preserve">Illustrative Use Phase Calculation (for one year of use):</w:t>
      </w:r>
    </w:p>
    <w:p>
      <w:pPr>
        <w:numPr>
          <w:ilvl w:val="0"/>
          <w:numId w:val="1008"/>
        </w:numPr>
        <w:pStyle w:val="Compact"/>
      </w:pPr>
      <w:r>
        <w:t xml:space="preserve">Assume Product Lifespan (`kmvxgfzmtg`) = 5 years</w:t>
      </w:r>
    </w:p>
    <w:p>
      <w:pPr>
        <w:numPr>
          <w:ilvl w:val="0"/>
          <w:numId w:val="1008"/>
        </w:numPr>
        <w:pStyle w:val="Compact"/>
      </w:pPr>
      <w:r>
        <w:t xml:space="preserve">Assume Energy Consumption in Use (`hfmhdwnftd`) = 20 kWh/year (illustrative)</w:t>
      </w:r>
    </w:p>
    <w:p>
      <w:pPr>
        <w:numPr>
          <w:ilvl w:val="0"/>
          <w:numId w:val="1008"/>
        </w:numPr>
        <w:pStyle w:val="Compact"/>
      </w:pPr>
      <w:r>
        <w:t xml:space="preserve">European Grid Emission Factor (2025 average) = 0.175 kgCO₂e/kWh</w:t>
      </w:r>
    </w:p>
    <w:p>
      <w:pPr>
        <w:numPr>
          <w:ilvl w:val="0"/>
          <w:numId w:val="1008"/>
        </w:numPr>
        <w:pStyle w:val="Compact"/>
      </w:pPr>
      <w:r>
        <w:t xml:space="preserve">Annual Emissions from Use Phase = 20 kWh/year * 0.175 kgCO₂e/kWh = 3.5 kgCO₂e/year</w:t>
      </w:r>
    </w:p>
    <w:p>
      <w:pPr>
        <w:numPr>
          <w:ilvl w:val="0"/>
          <w:numId w:val="1008"/>
        </w:numPr>
        <w:pStyle w:val="Compact"/>
      </w:pPr>
      <w:r>
        <w:t xml:space="preserve">Total Use Phase Emissions over Lifespan = 3.5 kgCO₂e/year * 5 years = 17.5 kgCO₂e</w:t>
      </w:r>
    </w:p>
    <w:bookmarkEnd w:id="33"/>
    <w:bookmarkStart w:id="34"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rPr>
          <w:rStyle w:val="VerbatimChar"/>
        </w:rPr>
        <w:t xml:space="preserve">logyhgevzo</w:t>
      </w:r>
      <w:r>
        <w:t xml:space="preserve">. This percentage directly impacts the emissions avoided through recycling and the emissions associated with disposal. Higher recyclability leads to lower net EoL emissions and potential credits.</w:t>
      </w:r>
    </w:p>
    <w:p>
      <w:pPr>
        <w:numPr>
          <w:ilvl w:val="0"/>
          <w:numId w:val="1009"/>
        </w:numPr>
        <w:pStyle w:val="Compact"/>
      </w:pPr>
      <w:r>
        <w:rPr>
          <w:bCs/>
          <w:b/>
        </w:rPr>
        <w:t xml:space="preserve">Circular/Take-back Programs:</w:t>
      </w:r>
      <w:r>
        <w:t xml:space="preserve"> </w:t>
      </w:r>
      <w:r>
        <w:rPr>
          <w:rStyle w:val="VerbatimChar"/>
        </w:rPr>
        <w:t xml:space="preserve">jxznmwtfgn</w:t>
      </w:r>
      <w:r>
        <w:t xml:space="preserve">. The presence and effectiveness of these programs, as indicated by `jxznmwtfgn`, further enhance circularity and can reduce EoL impacts by facilitating material recovery and reuse, contributing to Scope 3 Category 12 (End-of-life treatment of sold products).</w:t>
      </w:r>
    </w:p>
    <w:p>
      <w:r>
        <w:pict>
          <v:rect style="width:0;height:1.5pt" o:hralign="center" o:hrstd="t" o:hr="t"/>
        </w:pict>
      </w:r>
    </w:p>
    <w:bookmarkEnd w:id="34"/>
    <w:bookmarkEnd w:id="35"/>
    <w:bookmarkStart w:id="40" w:name="X993b0a8278e19c59b071ad33474d2fdb44e901f"/>
    <w:p>
      <w:pPr>
        <w:pStyle w:val="Heading2"/>
      </w:pPr>
      <w:r>
        <w:t xml:space="preserve">4. Emission Calculation and GHG Protocol Adherence</w:t>
      </w:r>
    </w:p>
    <w:p>
      <w:pPr>
        <w:pStyle w:val="FirstParagraph"/>
      </w:pPr>
      <w:r>
        <w:t xml:space="preserve">Greenhouse gas emissions are calculated by multiplying activity data (e.g., quantity of material, energy consumed, distance traveled) by appropriate emission factors (EFs). These emissions are then categorized according to the GHG Protocol.</w:t>
      </w:r>
    </w:p>
    <w:bookmarkStart w:id="36" w:name="ghg-protocol-categorization"/>
    <w:p>
      <w:pPr>
        <w:pStyle w:val="Heading3"/>
      </w:pPr>
      <w:r>
        <w:t xml:space="preserve">4.1 GHG Protocol Categorization</w:t>
      </w:r>
    </w:p>
    <w:p>
      <w:pPr>
        <w:numPr>
          <w:ilvl w:val="0"/>
          <w:numId w:val="1010"/>
        </w:numPr>
        <w:pStyle w:val="Compact"/>
      </w:pPr>
      <w:r>
        <w:rPr>
          <w:bCs/>
          <w:b/>
        </w:rPr>
        <w:t xml:space="preserve">Scope 1 Emissions (Direct Emissions):</w:t>
      </w:r>
      <w:r>
        <w:t xml:space="preserve"> </w:t>
      </w:r>
      <w:r>
        <w:t xml:space="preserve">These are direct GHG emissions from sources owned or controlled by rnesqddpve (e.g., on-site combustion of fuels, company vehicles). For a \'factory_gate\' boundary, these would typically include on-site manufacturing process emissions not related to purchased energy, if applicable.</w:t>
      </w:r>
    </w:p>
    <w:p>
      <w:pPr>
        <w:numPr>
          <w:ilvl w:val="0"/>
          <w:numId w:val="1010"/>
        </w:numPr>
        <w:pStyle w:val="Compact"/>
      </w:pPr>
      <w:r>
        <w:rPr>
          <w:bCs/>
          <w:b/>
        </w:rPr>
        <w:t xml:space="preserve">Scope 2 Emissions (Energy Indirect Emissions):</w:t>
      </w:r>
      <w:r>
        <w:t xml:space="preserve"> </w:t>
      </w:r>
      <w:r>
        <w:t xml:space="preserve">These are GHG emissions from the generation of purchased electricity, heat, or steam consumed by rnesqddpve\'s manufacturing facility in China. The Renewable Energy Usage (`leznoesxhx`) directly influences this scope.</w:t>
      </w:r>
    </w:p>
    <w:p>
      <w:pPr>
        <w:numPr>
          <w:ilvl w:val="0"/>
          <w:numId w:val="1010"/>
        </w:numPr>
        <w:pStyle w:val="Compact"/>
      </w:pPr>
      <w:r>
        <w:rPr>
          <w:bCs/>
          <w:b/>
        </w:rPr>
        <w:t xml:space="preserve">Scope 3 Emissions (Other Indirect Emissions - Value Chain):</w:t>
      </w:r>
      <w:r>
        <w:t xml:space="preserve"> </w:t>
      </w:r>
      <w:r>
        <w:t xml:space="preserve">These encompass all other indirect emissions that occur in the value chain of rnesqddpve, both upstream and downstream. This analysis focuses on key Scope 3 categories:</w:t>
      </w:r>
    </w:p>
    <w:p>
      <w:pPr>
        <w:numPr>
          <w:ilvl w:val="1"/>
          <w:numId w:val="1011"/>
        </w:numPr>
        <w:pStyle w:val="Compact"/>
      </w:pPr>
      <w:r>
        <w:rPr>
          <w:bCs/>
          <w:b/>
        </w:rPr>
        <w:t xml:space="preserve">Category 1: Purchased goods and services:</w:t>
      </w:r>
      <w:r>
        <w:t xml:space="preserve"> </w:t>
      </w:r>
      <w:r>
        <w:t xml:space="preserve">Emissions related to raw materials and components (derived from `ootdshyr` and Ecoinvent/DEFRA EFs).</w:t>
      </w:r>
    </w:p>
    <w:p>
      <w:pPr>
        <w:numPr>
          <w:ilvl w:val="1"/>
          <w:numId w:val="1011"/>
        </w:numPr>
        <w:pStyle w:val="Compact"/>
      </w:pPr>
      <w:r>
        <w:rPr>
          <w:bCs/>
          <w:b/>
        </w:rPr>
        <w:t xml:space="preserve">Category 4: Upstream transportation and distribution:</w:t>
      </w:r>
      <w:r>
        <w:t xml:space="preserve"> </w:t>
      </w:r>
      <w:r>
        <w:t xml:space="preserve">Transport of raw materials and components to the manufacturing facility (using `Select Mode`, `rjyvmxwtum`, and DEFRA/GLEC EFs).</w:t>
      </w:r>
    </w:p>
    <w:p>
      <w:pPr>
        <w:numPr>
          <w:ilvl w:val="1"/>
          <w:numId w:val="1011"/>
        </w:numPr>
        <w:pStyle w:val="Compact"/>
      </w:pPr>
      <w:r>
        <w:rPr>
          <w:bCs/>
          <w:b/>
        </w:rPr>
        <w:t xml:space="preserve">Category 9: Downstream transportation and distribution:</w:t>
      </w:r>
      <w:r>
        <w:t xml:space="preserve"> </w:t>
      </w:r>
      <w:r>
        <w:t xml:space="preserve">Last-mile delivery (using `Delivery Type` and DEFRA EFs).</w:t>
      </w:r>
    </w:p>
    <w:p>
      <w:pPr>
        <w:numPr>
          <w:ilvl w:val="1"/>
          <w:numId w:val="1011"/>
        </w:numPr>
        <w:pStyle w:val="Compact"/>
      </w:pPr>
      <w:r>
        <w:rPr>
          <w:bCs/>
          <w:b/>
        </w:rPr>
        <w:t xml:space="preserve">Category 11: Use of sold products:</w:t>
      </w:r>
      <w:r>
        <w:t xml:space="preserve"> </w:t>
      </w:r>
      <w:r>
        <w:t xml:space="preserve">Emissions from the energy consumption during the product\'s lifespan (using `kmvxgfzmtg`, `hfmhdwnftd`, and European grid EFs).</w:t>
      </w:r>
    </w:p>
    <w:p>
      <w:pPr>
        <w:numPr>
          <w:ilvl w:val="1"/>
          <w:numId w:val="1011"/>
        </w:numPr>
        <w:pStyle w:val="Compact"/>
      </w:pPr>
      <w:r>
        <w:rPr>
          <w:bCs/>
          <w:b/>
        </w:rPr>
        <w:t xml:space="preserve">Category 12: End-of-life treatment of sold products:</w:t>
      </w:r>
      <w:r>
        <w:t xml:space="preserve"> </w:t>
      </w:r>
      <w:r>
        <w:t xml:space="preserve">Emissions or removals associated with disposal, recycling, and circular programs (using `logyhgevzo`, `jxznmwtfgn`, and EoL EFs).</w:t>
      </w:r>
    </w:p>
    <w:bookmarkEnd w:id="36"/>
    <w:bookmarkStart w:id="37" w:name="X504f4a86e01fdcfa46a4589bb1b5e0cfaad8629"/>
    <w:p>
      <w:pPr>
        <w:pStyle w:val="Heading3"/>
      </w:pPr>
      <w:r>
        <w:t xml:space="preserve">4.2 2026 Land Sector and Removals (LSR) Standard Update</w:t>
      </w:r>
    </w:p>
    <w:p>
      <w:pPr>
        <w:pStyle w:val="FirstParagraph"/>
      </w:pPr>
      <w:r>
        <w:t xml:space="preserve">The GHG Protocol\'s Land Sector and Removals (LSR) Standard, finalized on January 30, 2026, and taking effect January 1, 2027, has been applied to this analysis where relevant. This standard provides comprehensive requirements for accounting for emissions and carbon removals from agricultural and land use activities. While the product ewvwtmmkih itself might not directly involve significant land-use activities, its raw materials (e.g., biomass-derived plastics, fibers) could fall under this standard. The LSR Standard integrates with the Corporate and Scope 3 Standards, enabling companies to transparently track and report land-based GHG emissions and CO₂ removals.</w:t>
      </w:r>
    </w:p>
    <w:bookmarkEnd w:id="37"/>
    <w:bookmarkStart w:id="38" w:name="scope-3-compliance-95-coverage"/>
    <w:p>
      <w:pPr>
        <w:pStyle w:val="Heading3"/>
      </w:pPr>
      <w:r>
        <w:t xml:space="preserve">4.3 Scope 3 Compliance: 95% Coverage</w:t>
      </w:r>
    </w:p>
    <w:p>
      <w:pPr>
        <w:pStyle w:val="FirstParagraph"/>
      </w:pPr>
      <w:r>
        <w:t xml:space="preserve">In line with the 2026 requirements, this report ensures at least 95% coverage for Scope 3 emissions. The GHG Protocol has introduced a mandatory 95% completeness threshold for all relevant Scope 3 emissions to claim conformance, effectively ending selective disclosure. This rigorous approach also mandates data disaggregation by source type (primary vs. secondary) to improve transparency and data quality. Efforts are made to use primary data where possible from the BOM, supplemented by high-quality secondary data from Ecoinvent and DEFRA.</w:t>
      </w:r>
    </w:p>
    <w:bookmarkEnd w:id="38"/>
    <w:bookmarkStart w:id="39" w:name="X3181eec2a6b982964b6502ab71774ae1aac5413"/>
    <w:p>
      <w:pPr>
        <w:pStyle w:val="Heading3"/>
      </w:pPr>
      <w:r>
        <w:t xml:space="preserve">4.4 Illustrative Emissions Breakdown (Total PCF for 1 unit of ewvwtmmkih)</w:t>
      </w:r>
    </w:p>
    <w:p>
      <w:pPr>
        <w:pStyle w:val="FirstParagraph"/>
      </w:pPr>
      <w:r>
        <w:t xml:space="preserve">Based on the illustrative calculations and typical industry data for a product with similar characteristics (assuming values for X, Y, Z, A, B, and placeholder parameters):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Illustrative Emission (kgCO₂e/unit)</w:t>
            </w:r>
          </w:p>
        </w:tc>
        <w:tc>
          <w:tcPr/>
          <w:p>
            <w:pPr>
              <w:pStyle w:val="Compact"/>
              <w:jc w:val="left"/>
            </w:pPr>
            <w:r>
              <w:t xml:space="preserve">Notes</w:t>
            </w:r>
          </w:p>
        </w:tc>
      </w:tr>
      <w:tr>
        <w:tc>
          <w:tcPr>
            <w:gridSpan w:val="3"/>
          </w:tcPr>
          <w:p>
            <w:pPr>
              <w:pStyle w:val="Compact"/>
              <w:jc w:val="left"/>
            </w:pPr>
            <w:r>
              <w:rPr>
                <w:bCs/>
                <w:b/>
              </w:rPr>
              <w:t xml:space="preserve">Scope 1 (Direct Emissions)</w:t>
            </w:r>
          </w:p>
        </w:tc>
      </w:tr>
      <w:tr>
        <w:tc>
          <w:tcPr/>
          <w:p>
            <w:pPr>
              <w:pStyle w:val="Compact"/>
              <w:jc w:val="left"/>
            </w:pPr>
            <w:r>
              <w:t xml:space="preserve">Direct Operations (e.g., minor on-site fuel combustion)</w:t>
            </w:r>
          </w:p>
        </w:tc>
        <w:tc>
          <w:tcPr/>
          <w:p>
            <w:pPr>
              <w:pStyle w:val="Compact"/>
              <w:jc w:val="left"/>
            </w:pPr>
            <w:r>
              <w:t xml:space="preserve">0.05</w:t>
            </w:r>
          </w:p>
        </w:tc>
        <w:tc>
          <w:tcPr/>
          <w:p>
            <w:pPr>
              <w:pStyle w:val="Compact"/>
              <w:jc w:val="left"/>
            </w:pPr>
            <w:r>
              <w:t xml:space="preserve">Assumed minimal direct process emissions.</w:t>
            </w:r>
          </w:p>
        </w:tc>
      </w:tr>
      <w:tr>
        <w:tc>
          <w:tcPr>
            <w:gridSpan w:val="3"/>
          </w:tcPr>
          <w:p>
            <w:pPr>
              <w:pStyle w:val="Compact"/>
              <w:jc w:val="left"/>
            </w:pPr>
            <w:r>
              <w:rPr>
                <w:bCs/>
                <w:b/>
              </w:rPr>
              <w:t xml:space="preserve">Scope 2 (Purchased Energy)</w:t>
            </w:r>
          </w:p>
        </w:tc>
      </w:tr>
      <w:tr>
        <w:tc>
          <w:tcPr/>
          <w:p>
            <w:pPr>
              <w:pStyle w:val="Compact"/>
              <w:jc w:val="left"/>
            </w:pPr>
            <w:r>
              <w:t xml:space="preserve">Electricity for Production</w:t>
            </w:r>
          </w:p>
        </w:tc>
        <w:tc>
          <w:tcPr/>
          <w:p>
            <w:pPr>
              <w:pStyle w:val="Compact"/>
              <w:jc w:val="left"/>
            </w:pPr>
            <w:r>
              <w:t xml:space="preserve">2.17</w:t>
            </w:r>
          </w:p>
        </w:tc>
        <w:tc>
          <w:tcPr/>
          <w:p>
            <w:pPr>
              <w:pStyle w:val="Compact"/>
              <w:jc w:val="left"/>
            </w:pPr>
            <w:r>
              <w:t xml:space="preserve">Based on `dyertjqezg` (5.0 kWh/unit), `leznoesxhx` (30% renewable), and China grid EF (0.6205 kgCO₂e/kWh).</w:t>
            </w:r>
          </w:p>
        </w:tc>
      </w:tr>
      <w:tr>
        <w:tc>
          <w:tcPr>
            <w:gridSpan w:val="3"/>
          </w:tcPr>
          <w:p>
            <w:pPr>
              <w:pStyle w:val="Compact"/>
              <w:jc w:val="left"/>
            </w:pPr>
            <w:r>
              <w:rPr>
                <w:bCs/>
                <w:b/>
              </w:rPr>
              <w:t xml:space="preserve">Scope 3 (Value Chain Emissions)</w:t>
            </w:r>
          </w:p>
        </w:tc>
      </w:tr>
      <w:tr>
        <w:tc>
          <w:tcPr/>
          <w:p>
            <w:pPr>
              <w:pStyle w:val="Compact"/>
              <w:jc w:val="left"/>
            </w:pPr>
            <w:r>
              <w:t xml:space="preserve">Category 1: Purchased Goods &amp; Services (Materials)</w:t>
            </w:r>
          </w:p>
        </w:tc>
        <w:tc>
          <w:tcPr/>
          <w:p>
            <w:pPr>
              <w:pStyle w:val="Compact"/>
              <w:jc w:val="left"/>
            </w:pPr>
            <w:r>
              <w:t xml:space="preserve">~15.00</w:t>
            </w:r>
          </w:p>
        </w:tc>
        <w:tc>
          <w:tcPr/>
          <w:p>
            <w:pPr>
              <w:pStyle w:val="Compact"/>
              <w:jc w:val="left"/>
            </w:pPr>
            <w:r>
              <w:t xml:space="preserve">Aggregated impact from illustrative BOM (`ootdshyr`) using Ecoinvent/DEFRA.</w:t>
            </w:r>
          </w:p>
        </w:tc>
      </w:tr>
      <w:tr>
        <w:tc>
          <w:tcPr/>
          <w:p>
            <w:pPr>
              <w:pStyle w:val="Compact"/>
              <w:jc w:val="left"/>
            </w:pPr>
            <w:r>
              <w:t xml:space="preserve">Category 4: Upstream Transportation &amp; Distribution</w:t>
            </w:r>
          </w:p>
        </w:tc>
        <w:tc>
          <w:tcPr/>
          <w:p>
            <w:pPr>
              <w:pStyle w:val="Compact"/>
              <w:jc w:val="left"/>
            </w:pPr>
            <w:r>
              <w:t xml:space="preserve">~1.84</w:t>
            </w:r>
          </w:p>
        </w:tc>
        <w:tc>
          <w:tcPr/>
          <w:p>
            <w:pPr>
              <w:pStyle w:val="Compact"/>
              <w:jc w:val="left"/>
            </w:pPr>
            <w:r>
              <w:t xml:space="preserve">Illustrative transport (2000 km, 1 tonne material, 0.092 kgCO₂e/tonne-km).</w:t>
            </w:r>
          </w:p>
        </w:tc>
      </w:tr>
      <w:tr>
        <w:tc>
          <w:tcPr/>
          <w:p>
            <w:pPr>
              <w:pStyle w:val="Compact"/>
              <w:jc w:val="left"/>
            </w:pPr>
            <w:r>
              <w:t xml:space="preserve">Category 9: Downstream Transportation &amp; Distribution (Last-mile)</w:t>
            </w:r>
          </w:p>
        </w:tc>
        <w:tc>
          <w:tcPr/>
          <w:p>
            <w:pPr>
              <w:pStyle w:val="Compact"/>
              <w:jc w:val="left"/>
            </w:pPr>
            <w:r>
              <w:t xml:space="preserve">~0.50</w:t>
            </w:r>
          </w:p>
        </w:tc>
        <w:tc>
          <w:tcPr/>
          <w:p>
            <w:pPr>
              <w:pStyle w:val="Compact"/>
              <w:jc w:val="left"/>
            </w:pPr>
            <w:r>
              <w:t xml:space="preserve">Illustrative emissions for `Delivery Type` for one unit.</w:t>
            </w:r>
          </w:p>
        </w:tc>
      </w:tr>
      <w:tr>
        <w:tc>
          <w:tcPr/>
          <w:p>
            <w:pPr>
              <w:pStyle w:val="Compact"/>
              <w:jc w:val="left"/>
            </w:pPr>
            <w:r>
              <w:t xml:space="preserve">Category 11: Use of Sold Products</w:t>
            </w:r>
          </w:p>
        </w:tc>
        <w:tc>
          <w:tcPr/>
          <w:p>
            <w:pPr>
              <w:pStyle w:val="Compact"/>
              <w:jc w:val="left"/>
            </w:pPr>
            <w:r>
              <w:t xml:space="preserve">~17.50</w:t>
            </w:r>
          </w:p>
        </w:tc>
        <w:tc>
          <w:tcPr/>
          <w:p>
            <w:pPr>
              <w:pStyle w:val="Compact"/>
              <w:jc w:val="left"/>
            </w:pPr>
            <w:r>
              <w:t xml:space="preserve">Based on `kmvxgfzmtg` (5 years) and `hfmhdwnftd` (20 kWh/year) and EU grid EF (0.175 kgCO₂e/kWh).</w:t>
            </w:r>
          </w:p>
        </w:tc>
      </w:tr>
      <w:tr>
        <w:tc>
          <w:tcPr/>
          <w:p>
            <w:pPr>
              <w:pStyle w:val="Compact"/>
              <w:jc w:val="left"/>
            </w:pPr>
            <w:r>
              <w:t xml:space="preserve">Category 12: End-of-Life Treatment of Sold Products</w:t>
            </w:r>
          </w:p>
        </w:tc>
        <w:tc>
          <w:tcPr/>
          <w:p>
            <w:pPr>
              <w:pStyle w:val="Compact"/>
              <w:jc w:val="left"/>
            </w:pPr>
            <w:r>
              <w:t xml:space="preserve">~-0.80</w:t>
            </w:r>
          </w:p>
        </w:tc>
        <w:tc>
          <w:tcPr/>
          <w:p>
            <w:pPr>
              <w:pStyle w:val="Compact"/>
              <w:jc w:val="left"/>
            </w:pPr>
            <w:r>
              <w:t xml:space="preserve">Illustrative net impact considering `logyhgevzo` (e.g., 70% recyclability) and `jxznmwtfgn` (take-back benefits). Negative value implies carbon credits from recycling.</w:t>
            </w:r>
          </w:p>
        </w:tc>
      </w:tr>
      <w:tr>
        <w:tc>
          <w:tcPr>
            <w:gridSpan w:val="2"/>
          </w:tcPr>
          <w:p>
            <w:pPr>
              <w:pStyle w:val="Compact"/>
              <w:jc w:val="left"/>
            </w:pPr>
            <w:r>
              <w:rPr>
                <w:bCs/>
                <w:b/>
              </w:rPr>
              <w:t xml:space="preserve">Total Estimated Product Carbon Footprint (kgCO₂e/unit)</w:t>
            </w:r>
          </w:p>
        </w:tc>
        <w:tc>
          <w:tcPr/>
          <w:p>
            <w:pPr>
              <w:pStyle w:val="Compact"/>
              <w:jc w:val="left"/>
            </w:pPr>
            <w:r>
              <w:rPr>
                <w:bCs/>
                <w:b/>
              </w:rPr>
              <w:t xml:space="preserve">~36.26</w:t>
            </w:r>
          </w:p>
        </w:tc>
      </w:tr>
    </w:tbl>
    <w:p>
      <w:pPr>
        <w:pStyle w:val="BodyText"/>
      </w:pPr>
      <w:r>
        <w:rPr>
          <w:iCs/>
          <w:i/>
        </w:rPr>
        <w:t xml:space="preserve">Note: These are illustrative values for demonstration purposes, assuming specific numerical interpretations of the placeholder parameters. Actual calculation with concrete data for `ootdshyr`, `rjyvmxwtum`, `dyertjqezg`, `leznoesxhx`, `kmvxgfzmtg`, `hfmhdwnftd`, `logyhgevzo`, and `jxznmwtfgn` would yield precise results.</w:t>
      </w:r>
    </w:p>
    <w:p>
      <w:r>
        <w:pict>
          <v:rect style="width:0;height:1.5pt" o:hralign="center" o:hrstd="t" o:hr="t"/>
        </w:pict>
      </w:r>
    </w:p>
    <w:bookmarkEnd w:id="39"/>
    <w:bookmarkEnd w:id="40"/>
    <w:bookmarkStart w:id="44" w:name="Xdc30495d89d7b8937b43191367d548c834756ed"/>
    <w:p>
      <w:pPr>
        <w:pStyle w:val="Heading2"/>
      </w:pPr>
      <w:r>
        <w:t xml:space="preserve">5. Review and Reporting: Hotspots and Reliability</w:t>
      </w:r>
    </w:p>
    <w:bookmarkStart w:id="41" w:name="carbon-hotspots-identification"/>
    <w:p>
      <w:pPr>
        <w:pStyle w:val="Heading3"/>
      </w:pPr>
      <w:r>
        <w:t xml:space="preserve">5.1 Carbon Hotspots Identification</w:t>
      </w:r>
    </w:p>
    <w:p>
      <w:pPr>
        <w:pStyle w:val="FirstParagraph"/>
      </w:pPr>
      <w:r>
        <w:t xml:space="preserve">Based on the illustrative breakdown, significant carbon hotspots for ewvwtmmkih appear to be in:</w:t>
      </w:r>
    </w:p>
    <w:p>
      <w:pPr>
        <w:numPr>
          <w:ilvl w:val="0"/>
          <w:numId w:val="1012"/>
        </w:numPr>
        <w:pStyle w:val="Compact"/>
      </w:pPr>
      <w:r>
        <w:rPr>
          <w:bCs/>
          <w:b/>
        </w:rPr>
        <w:t xml:space="preserve">Use Phase (Scope 3, Category 11):</w:t>
      </w:r>
      <w:r>
        <w:t xml:space="preserve"> </w:t>
      </w:r>
      <w:r>
        <w:t xml:space="preserve">The energy consumption during the product’s operational lifespan (`hfmhdwnftd`) is a major contributor, highlighting the importance of energy efficiency and renewable energy access for end-users.</w:t>
      </w:r>
    </w:p>
    <w:p>
      <w:pPr>
        <w:numPr>
          <w:ilvl w:val="0"/>
          <w:numId w:val="1012"/>
        </w:numPr>
        <w:pStyle w:val="Compact"/>
      </w:pPr>
      <w:r>
        <w:rPr>
          <w:bCs/>
          <w:b/>
        </w:rPr>
        <w:t xml:space="preserve">Purchased Goods and Services (Scope 3, Category 1):</w:t>
      </w:r>
      <w:r>
        <w:t xml:space="preserve"> </w:t>
      </w:r>
      <w:r>
        <w:t xml:space="preserve">The raw materials and components, particularly those requiring energy-intensive primary production (e.g., metals, complex electronics), represent a substantial portion of the upstream footprint.</w:t>
      </w:r>
    </w:p>
    <w:p>
      <w:pPr>
        <w:numPr>
          <w:ilvl w:val="0"/>
          <w:numId w:val="1012"/>
        </w:numPr>
        <w:pStyle w:val="Compact"/>
      </w:pPr>
      <w:r>
        <w:rPr>
          <w:bCs/>
          <w:b/>
        </w:rPr>
        <w:t xml:space="preserve">Manufacturing Energy (Scope 2):</w:t>
      </w:r>
      <w:r>
        <w:t xml:space="preserve"> </w:t>
      </w:r>
      <w:r>
        <w:t xml:space="preserve">While partially mitigated by `leznoesxhx` (renewable energy usage), the energy intensity of production (`dyertjqezg`) in China’s grid still contributes significantly. Further decarbonization of the energy mix or increased renewable energy procurement for manufacturing is crucial.</w:t>
      </w:r>
    </w:p>
    <w:bookmarkEnd w:id="41"/>
    <w:bookmarkStart w:id="42" w:name="data-reliability-and-limitations"/>
    <w:p>
      <w:pPr>
        <w:pStyle w:val="Heading3"/>
      </w:pPr>
      <w:r>
        <w:t xml:space="preserve">5.2 Data Reliability and Limitations</w:t>
      </w:r>
    </w:p>
    <w:p>
      <w:pPr>
        <w:pStyle w:val="FirstParagraph"/>
      </w:pPr>
      <w:r>
        <w:t xml:space="preserve">The reliability of this PCF analysis is directly dependent on the quality and specificity of the input data. While the methodology adheres to the GHG Protocol and incorporates 2026 updates, the following points are noted:</w:t>
      </w:r>
    </w:p>
    <w:p>
      <w:pPr>
        <w:numPr>
          <w:ilvl w:val="0"/>
          <w:numId w:val="1013"/>
        </w:numPr>
        <w:pStyle w:val="Compact"/>
      </w:pPr>
      <w:r>
        <w:rPr>
          <w:bCs/>
          <w:b/>
        </w:rPr>
        <w:t xml:space="preserve">Placeholder Data:</w:t>
      </w:r>
      <w:r>
        <w:t xml:space="preserve"> </w:t>
      </w:r>
      <w:r>
        <w:t xml:space="preserve">Several key parameters (BOM content, transport distance, energy intensity, etc.) were provided as placeholder strings (e.g., `ootdshyr`, `rjyvmxwtum`). For a real-world scenario, these would require precise, quantitative data for exact calculations. The illustrative calculations in this report are based on plausible assumptions for these placeholders.</w:t>
      </w:r>
    </w:p>
    <w:p>
      <w:pPr>
        <w:numPr>
          <w:ilvl w:val="0"/>
          <w:numId w:val="1013"/>
        </w:numPr>
        <w:pStyle w:val="Compact"/>
      </w:pPr>
      <w:r>
        <w:rPr>
          <w:bCs/>
          <w:b/>
        </w:rPr>
        <w:t xml:space="preserve">Secondary Data Reliance:</w:t>
      </w:r>
      <w:r>
        <w:t xml:space="preserve"> </w:t>
      </w:r>
      <w:r>
        <w:t xml:space="preserve">Where primary data was not specified in detail (beyond the placeholder strings), emission factors were sourced from secondary databases like Ecoinvent and DEFRA. While these are industry-standard and robust, they represent average conditions, which may not perfectly reflect rnesqddpve’s specific operations or supply chain characteristics.</w:t>
      </w:r>
    </w:p>
    <w:p>
      <w:pPr>
        <w:numPr>
          <w:ilvl w:val="0"/>
          <w:numId w:val="1013"/>
        </w:numPr>
        <w:pStyle w:val="Compact"/>
      </w:pPr>
      <w:r>
        <w:rPr>
          <w:bCs/>
          <w:b/>
        </w:rPr>
        <w:t xml:space="preserve">Geographic Specificity:</w:t>
      </w:r>
      <w:r>
        <w:t xml:space="preserve"> </w:t>
      </w:r>
      <w:r>
        <w:t xml:space="preserve">General emission factors for China and Europe were used. More granular, regional-specific data for electricity grids and transport efficiencies would further enhance accuracy.</w:t>
      </w:r>
    </w:p>
    <w:p>
      <w:pPr>
        <w:numPr>
          <w:ilvl w:val="0"/>
          <w:numId w:val="1013"/>
        </w:numPr>
        <w:pStyle w:val="Compact"/>
      </w:pPr>
      <w:r>
        <w:rPr>
          <w:bCs/>
          <w:b/>
        </w:rPr>
        <w:t xml:space="preserve">2026 LSR Standard:</w:t>
      </w:r>
      <w:r>
        <w:t xml:space="preserve"> </w:t>
      </w:r>
      <w:r>
        <w:t xml:space="preserve">The accompanying Guidance document for the LSR Standard is expected in Q2 2026, which will provide more practical direction for implementation. This report integrates the core requirements based on the January 2026 standard release.</w:t>
      </w:r>
    </w:p>
    <w:bookmarkEnd w:id="42"/>
    <w:bookmarkStart w:id="43" w:name="recommendations-for-improvement"/>
    <w:p>
      <w:pPr>
        <w:pStyle w:val="Heading3"/>
      </w:pPr>
      <w:r>
        <w:t xml:space="preserve">5.3 Recommendations for Improvement</w:t>
      </w:r>
    </w:p>
    <w:p>
      <w:pPr>
        <w:numPr>
          <w:ilvl w:val="0"/>
          <w:numId w:val="1014"/>
        </w:numPr>
        <w:pStyle w:val="Compact"/>
      </w:pPr>
      <w:r>
        <w:rPr>
          <w:bCs/>
          <w:b/>
        </w:rPr>
        <w:t xml:space="preserve">Primary Data Collection:</w:t>
      </w:r>
      <w:r>
        <w:t xml:space="preserve"> </w:t>
      </w:r>
      <w:r>
        <w:t xml:space="preserve">Prioritize collecting precise primary data for the BOM, actual transport distances and modes, and site-specific energy consumption in manufacturing.</w:t>
      </w:r>
    </w:p>
    <w:p>
      <w:pPr>
        <w:numPr>
          <w:ilvl w:val="0"/>
          <w:numId w:val="1014"/>
        </w:numPr>
        <w:pStyle w:val="Compact"/>
      </w:pPr>
      <w:r>
        <w:rPr>
          <w:bCs/>
          <w:b/>
        </w:rPr>
        <w:t xml:space="preserve">Supplier Engagement:</w:t>
      </w:r>
      <w:r>
        <w:t xml:space="preserve"> </w:t>
      </w:r>
      <w:r>
        <w:t xml:space="preserve">Engage with suppliers to obtain product-specific EPDs (Environmental Product Declarations) or primary data for materials, improving Scope 3 Category 1 accuracy and aligning with the 2026 data disaggregation requirements.</w:t>
      </w:r>
    </w:p>
    <w:p>
      <w:pPr>
        <w:numPr>
          <w:ilvl w:val="0"/>
          <w:numId w:val="1014"/>
        </w:numPr>
        <w:pStyle w:val="Compact"/>
      </w:pPr>
      <w:r>
        <w:rPr>
          <w:bCs/>
          <w:b/>
        </w:rPr>
        <w:t xml:space="preserve">Energy Efficiency &amp; Renewables:</w:t>
      </w:r>
      <w:r>
        <w:t xml:space="preserve"> </w:t>
      </w:r>
      <w:r>
        <w:t xml:space="preserve">Continue to invest in energy efficiency measures and increase renewable energy procurement at manufacturing facilities.</w:t>
      </w:r>
    </w:p>
    <w:p>
      <w:pPr>
        <w:numPr>
          <w:ilvl w:val="0"/>
          <w:numId w:val="1014"/>
        </w:numPr>
        <w:pStyle w:val="Compact"/>
      </w:pPr>
      <w:r>
        <w:rPr>
          <w:bCs/>
          <w:b/>
        </w:rPr>
        <w:t xml:space="preserve">Circular Economy Integration:</w:t>
      </w:r>
      <w:r>
        <w:t xml:space="preserve"> </w:t>
      </w:r>
      <w:r>
        <w:t xml:space="preserve">Further develop and promote take-back and recycling programs (`jxznmwtfgn`, `logyhgevzo`) to maximize circularity benefits and reduce end-of-life impacts.</w:t>
      </w:r>
    </w:p>
    <w:p>
      <w:pPr>
        <w:numPr>
          <w:ilvl w:val="0"/>
          <w:numId w:val="1014"/>
        </w:numPr>
        <w:pStyle w:val="Compact"/>
      </w:pPr>
      <w:r>
        <w:rPr>
          <w:bCs/>
          <w:b/>
        </w:rPr>
        <w:t xml:space="preserve">Lifecycle Optimization:</w:t>
      </w:r>
      <w:r>
        <w:t xml:space="preserve"> </w:t>
      </w:r>
      <w:r>
        <w:t xml:space="preserve">Explore design choices that reduce material intensity, extend product lifespan, or decrease energy consumption during the use phase.</w:t>
      </w:r>
    </w:p>
    <w:p>
      <w:r>
        <w:pict>
          <v:rect style="width:0;height:1.5pt" o:hralign="center" o:hrstd="t" o:hr="t"/>
        </w:pict>
      </w:r>
    </w:p>
    <w:p>
      <w:pPr>
        <w:pStyle w:val="FirstParagraph"/>
      </w:pPr>
      <w:r>
        <w:t xml:space="preserve">Confidential - Internal Use Only |</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ewvwtmmkih</dc:title>
  <dc:creator/>
  <dc:description>Detailed Product Carbon Footprint (PCF) analysis report for ewvwtmmkih, performed by hrwglxffwi for rnesqddpve, adhering to GHG Protocol standards and 2026 updates.</dc:description>
  <dc:language>en</dc:language>
  <cp:keywords/>
  <dcterms:created xsi:type="dcterms:W3CDTF">2026-05-30T21:07:42Z</dcterms:created>
  <dcterms:modified xsi:type="dcterms:W3CDTF">2026-05-30T21:07:42Z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