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ewdnydivgz</w:t>
      </w:r>
      <w:r>
        <w:t xml:space="preserve"> </w:t>
      </w:r>
      <w:r>
        <w:t xml:space="preserve">by</w:t>
      </w:r>
      <w:r>
        <w:t xml:space="preserve"> </w:t>
      </w:r>
      <w:r>
        <w:t xml:space="preserve">oqprriwwtj</w:t>
      </w:r>
    </w:p>
    <w:p>
      <w:pPr>
        <w:pStyle w:val="FirstParagraph"/>
      </w:pPr>
      <w:r>
        <w:t xml:space="preserve">carboncalcpcf.com</w:t>
      </w:r>
    </w:p>
    <w:p>
      <w:pPr>
        <w:pStyle w:val="BodyText"/>
      </w:pPr>
      <w:r>
        <w:t xml:space="preserve">Product Carbon Footprint Analysis</w:t>
      </w:r>
    </w:p>
    <w:bookmarkStart w:id="20" w:name="ewdnydivgz"/>
    <w:p>
      <w:pPr>
        <w:pStyle w:val="Heading1"/>
      </w:pPr>
      <w:r>
        <w:t xml:space="preserve">ewdnydivgz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oqprriwwtj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xxlexpqhel</w:t>
      </w:r>
    </w:p>
    <w:p>
      <w:pPr>
        <w:pStyle w:val="BodyText"/>
      </w:pPr>
      <w:r>
        <w:t xml:space="preserve">This report is generated based on available data and industry standards, providing a high-detail assessment of the Product Carbon Footprint for ewdnydivgz.</w:t>
      </w:r>
    </w:p>
    <w:bookmarkEnd w:id="20"/>
    <w:bookmarkStart w:id="21" w:name="X969bc6dd6ff6423b7eddb43fd908337b7b8447a"/>
    <w:p>
      <w:pPr>
        <w:pStyle w:val="Heading1"/>
      </w:pPr>
      <w:r>
        <w:t xml:space="preserve">Product Carbon Footprint Report for ewdnydivgz</w:t>
      </w:r>
    </w:p>
    <w:p>
      <w:pPr>
        <w:pStyle w:val="FirstParagraph"/>
      </w:pPr>
      <w:r>
        <w:t xml:space="preserve">Generated Date: May 20, 2026</w:t>
      </w:r>
    </w:p>
    <w:bookmarkEnd w:id="21"/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</w:t>
      </w:r>
      <w:r>
        <w:t xml:space="preserve"> </w:t>
      </w:r>
      <w:r>
        <w:rPr>
          <w:bCs/>
          <w:b/>
        </w:rPr>
        <w:t xml:space="preserve">ewdnydivgz</w:t>
      </w:r>
      <w:r>
        <w:t xml:space="preserve"> </w:t>
      </w:r>
      <w:r>
        <w:t xml:space="preserve">manufactured by</w:t>
      </w:r>
      <w:r>
        <w:t xml:space="preserve"> </w:t>
      </w:r>
      <w:r>
        <w:rPr>
          <w:bCs/>
          <w:b/>
        </w:rPr>
        <w:t xml:space="preserve">oqprriwwtj</w:t>
      </w:r>
      <w:r>
        <w:t xml:space="preserve">. Conducted by Senior Sustainability Consultant</w:t>
      </w:r>
      <w:r>
        <w:t xml:space="preserve"> </w:t>
      </w:r>
      <w:r>
        <w:rPr>
          <w:bCs/>
          <w:b/>
        </w:rPr>
        <w:t xml:space="preserve">xxlexpqhel</w:t>
      </w:r>
      <w:r>
        <w:t xml:space="preserve">, this analysis adheres strictly to the GHG Protocol accounting standard, incorporating the 2026 Land Sector and Removals (LSR) update and ensuring at least 95% Scope 3 coverage. The assessment covers the entire product lifecycle from material acquisition through end-of-life, with a system boundary defined as \'factory_gate\'. The findings identify key emission hotspots and provide a foundational understanding for targeted emission reduction strategies.</w:t>
      </w:r>
    </w:p>
    <w:p>
      <w:r>
        <w:pict>
          <v:rect style="width:0;height:1.5pt" o:hralign="center" o:hrstd="t" o:hr="t"/>
        </w:pict>
      </w:r>
    </w:p>
    <w:bookmarkEnd w:id="22"/>
    <w:bookmarkStart w:id="30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The Product Carbon Footprint (PCF) analysis for ewdnydivgz followed a five-step methodology in line with the GHG Protocol Product Standard:</w:t>
      </w:r>
    </w:p>
    <w:p>
      <w:pPr>
        <w:numPr>
          <w:ilvl w:val="0"/>
          <w:numId w:val="1001"/>
        </w:numPr>
        <w:pStyle w:val="Heading3"/>
      </w:pPr>
      <w:bookmarkStart w:id="23" w:name="define-scope"/>
      <w:r>
        <w:t xml:space="preserve">1. Define Scope</w:t>
      </w:r>
      <w:bookmarkEnd w:id="23"/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ewdnydivgz.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Factory-gate (cradle-to-gate), extending to include downstream use and end-of-life for a comprehensive view, but with the primary accounting boundary set at the factory output.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China, Supply Chain Focus: Europe Focused for upstream materials and downstream distribution.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All emissions are directly allocated to the functional unit as this is a single product PCF. No co-product allocation was required.</w:t>
      </w:r>
    </w:p>
    <w:p>
      <w:pPr>
        <w:numPr>
          <w:ilvl w:val="0"/>
          <w:numId w:val="1001"/>
        </w:numPr>
        <w:pStyle w:val="Heading3"/>
      </w:pPr>
      <w:bookmarkStart w:id="24" w:name="map-lifecycle-lci-inventory-stages"/>
      <w:r>
        <w:t xml:space="preserve">2. Map Lifecycle (LCI Inventory Stages)</w:t>
      </w:r>
      <w:bookmarkEnd w:id="24"/>
    </w:p>
    <w:p>
      <w:pPr>
        <w:numPr>
          <w:ilvl w:val="0"/>
          <w:numId w:val="1000"/>
        </w:numPr>
      </w:pPr>
      <w:r>
        <w:t xml:space="preserve">The lifecycle of ewdnydivgz was mapped across the following stages, facilitating a detailed inventory of inputs and outputs:</w:t>
      </w:r>
    </w:p>
    <w:p>
      <w:pPr>
        <w:numPr>
          <w:ilvl w:val="1"/>
          <w:numId w:val="1003"/>
        </w:numPr>
        <w:pStyle w:val="Compact"/>
      </w:pPr>
      <w:r>
        <w:rPr>
          <w:bCs/>
          <w:b/>
        </w:rPr>
        <w:t xml:space="preserve">Material Acquisition &amp; Pre-processing:</w:t>
      </w:r>
      <w:r>
        <w:t xml:space="preserve"> </w:t>
      </w:r>
      <w:r>
        <w:t xml:space="preserve">Extraction, processing, and manufacturing of raw materials.</w:t>
      </w:r>
    </w:p>
    <w:p>
      <w:pPr>
        <w:numPr>
          <w:ilvl w:val="1"/>
          <w:numId w:val="1003"/>
        </w:numPr>
        <w:pStyle w:val="Compact"/>
      </w:pPr>
      <w:r>
        <w:rPr>
          <w:bCs/>
          <w:b/>
        </w:rPr>
        <w:t xml:space="preserve">Manufacturing:</w:t>
      </w:r>
      <w:r>
        <w:t xml:space="preserve"> </w:t>
      </w:r>
      <w:r>
        <w:t xml:space="preserve">Production processes at the oqprriwwtj facility, including energy consumption.</w:t>
      </w:r>
    </w:p>
    <w:p>
      <w:pPr>
        <w:numPr>
          <w:ilvl w:val="1"/>
          <w:numId w:val="1003"/>
        </w:numPr>
        <w:pStyle w:val="Compact"/>
      </w:pPr>
      <w:r>
        <w:rPr>
          <w:bCs/>
          <w:b/>
        </w:rPr>
        <w:t xml:space="preserve">Transport &amp; Logistics:</w:t>
      </w:r>
      <w:r>
        <w:t xml:space="preserve"> </w:t>
      </w:r>
      <w:r>
        <w:t xml:space="preserve">Inbound transport of materials to the factory and outbound transport of the finished product to the customer, including last-mile delivery.</w:t>
      </w:r>
    </w:p>
    <w:p>
      <w:pPr>
        <w:numPr>
          <w:ilvl w:val="1"/>
          <w:numId w:val="1003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Energy consumption during the product\'s operational lifespan.</w:t>
      </w:r>
    </w:p>
    <w:p>
      <w:pPr>
        <w:numPr>
          <w:ilvl w:val="1"/>
          <w:numId w:val="1003"/>
        </w:numPr>
        <w:pStyle w:val="Compact"/>
      </w:pPr>
      <w:r>
        <w:rPr>
          <w:bCs/>
          <w:b/>
        </w:rPr>
        <w:t xml:space="preserve">End-of-Life (EoL):</w:t>
      </w:r>
      <w:r>
        <w:t xml:space="preserve"> </w:t>
      </w:r>
      <w:r>
        <w:t xml:space="preserve">Disposal or recycling of the product and its components at the end of its functional life.</w:t>
      </w:r>
    </w:p>
    <w:p>
      <w:pPr>
        <w:numPr>
          <w:ilvl w:val="0"/>
          <w:numId w:val="1000"/>
        </w:numPr>
        <w:pStyle w:val="Heading4"/>
      </w:pPr>
      <w:bookmarkStart w:id="25" w:name="X375f90d34e2738bf774185f3c83efd090ce459a"/>
      <w:r>
        <w:t xml:space="preserve">Detailed Breakdown of Materials and Energy Inputs</w:t>
      </w:r>
      <w:bookmarkEnd w:id="25"/>
    </w:p>
    <w:p>
      <w:pPr>
        <w:numPr>
          <w:ilvl w:val="0"/>
          <w:numId w:val="1000"/>
        </w:numPr>
      </w:pPr>
      <w:r>
        <w:t xml:space="preserve">The following table details the Bill of Materials (BOM) for ewdnydivgz, based on the provided data</w:t>
      </w:r>
      <w:r>
        <w:t xml:space="preserve"> </w:t>
      </w:r>
      <w:r>
        <w:rPr>
          <w:rStyle w:val="VerbatimChar"/>
        </w:rPr>
        <w:t xml:space="preserve">stfkqnwe</w:t>
      </w:r>
      <w:r>
        <w:t xml:space="preserve">. Each component\'s carbon impact is directly incorporated into the calculation.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  <w:tblInd w:w="720" w:type="dxa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(kgCO2e/unit or 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Casting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Housing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Paper/Pulp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Recycled Pulping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</w:t>
            </w:r>
          </w:p>
        </w:tc>
      </w:tr>
    </w:tbl>
    <w:p>
      <w:pPr>
        <w:numPr>
          <w:ilvl w:val="0"/>
          <w:numId w:val="1000"/>
        </w:numPr>
      </w:pPr>
      <w:r>
        <w:t xml:space="preserve">Energy inputs for the manufacturing phase are detailed in the Calculation section.</w:t>
      </w:r>
    </w:p>
    <w:p>
      <w:pPr>
        <w:numPr>
          <w:ilvl w:val="0"/>
          <w:numId w:val="1001"/>
        </w:numPr>
        <w:pStyle w:val="Heading3"/>
      </w:pPr>
      <w:bookmarkStart w:id="26" w:name="collect-data"/>
      <w:r>
        <w:t xml:space="preserve">3. Collect Data</w:t>
      </w:r>
      <w:bookmarkEnd w:id="26"/>
    </w:p>
    <w:p>
      <w:pPr>
        <w:numPr>
          <w:ilvl w:val="0"/>
          <w:numId w:val="1000"/>
        </w:numPr>
      </w:pPr>
      <w:r>
        <w:t xml:space="preserve">Primary data was utilized where available, specifically for the Bill of Materials (BOM) and energy consumption in the manufacturing and use phases. Secondary data, including industry-average emission factors, was sourced from reputable databases (e.g., Ecoinvent, DEFRA) for material production, transport, and end-of-life processes, where primary data was not accessible or for background processes.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Detailed Bill of Materials (BOM):</w:t>
      </w:r>
      <w:r>
        <w:t xml:space="preserve"> </w:t>
      </w:r>
      <w:r>
        <w:t xml:space="preserve">Data from</w:t>
      </w:r>
      <w:r>
        <w:t xml:space="preserve"> </w:t>
      </w:r>
      <w:r>
        <w:rPr>
          <w:rStyle w:val="VerbatimChar"/>
        </w:rPr>
        <w:t xml:space="preserve">stfkqnwe</w:t>
      </w:r>
      <w:r>
        <w:t xml:space="preserve"> </w:t>
      </w:r>
      <w:r>
        <w:t xml:space="preserve">was used for high-accuracy material impact calculation. Each item\'s provided \'Total Carbon\' was directly summed for the material phase.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Transport Data:</w:t>
      </w:r>
      <w:r>
        <w:t xml:space="preserve"> </w:t>
      </w:r>
      <w:r>
        <w:t xml:space="preserve">Specific logistics data (Mode:</w:t>
      </w:r>
      <w:r>
        <w:t xml:space="preserve"> </w:t>
      </w:r>
      <w:r>
        <w:rPr>
          <w:rStyle w:val="VerbatimChar"/>
        </w:rPr>
        <w:t xml:space="preserve">Select Mode</w:t>
      </w:r>
      <w:r>
        <w:t xml:space="preserve">, Distance:</w:t>
      </w:r>
      <w:r>
        <w:t xml:space="preserve"> </w:t>
      </w:r>
      <w:r>
        <w:rPr>
          <w:rStyle w:val="VerbatimChar"/>
        </w:rPr>
        <w:t xml:space="preserve">wgtqtignml</w:t>
      </w:r>
      <w:r>
        <w:t xml:space="preserve">, Delivery:</w:t>
      </w:r>
      <w:r>
        <w:t xml:space="preserve"> </w:t>
      </w:r>
      <w:r>
        <w:rPr>
          <w:rStyle w:val="VerbatimChar"/>
        </w:rPr>
        <w:t xml:space="preserve">Delivery Type</w:t>
      </w:r>
      <w:r>
        <w:t xml:space="preserve">) were incorporated. For calculations, assumptions were made for</w:t>
      </w:r>
      <w:r>
        <w:t xml:space="preserve"> </w:t>
      </w:r>
      <w:r>
        <w:rPr>
          <w:rStyle w:val="VerbatimChar"/>
        </w:rPr>
        <w:t xml:space="preserve">Select Mode</w:t>
      </w:r>
      <w:r>
        <w:t xml:space="preserve"> </w:t>
      </w:r>
      <w:r>
        <w:t xml:space="preserve">as Road HGV (&gt;3.5t),</w:t>
      </w:r>
      <w:r>
        <w:t xml:space="preserve"> </w:t>
      </w:r>
      <w:r>
        <w:rPr>
          <w:rStyle w:val="VerbatimChar"/>
        </w:rPr>
        <w:t xml:space="preserve">wgtqtignml</w:t>
      </w:r>
      <w:r>
        <w:t xml:space="preserve"> </w:t>
      </w:r>
      <w:r>
        <w:t xml:space="preserve">as 1000 km, and</w:t>
      </w:r>
      <w:r>
        <w:t xml:space="preserve"> </w:t>
      </w:r>
      <w:r>
        <w:rPr>
          <w:rStyle w:val="VerbatimChar"/>
        </w:rPr>
        <w:t xml:space="preserve">Delivery Type</w:t>
      </w:r>
      <w:r>
        <w:t xml:space="preserve"> </w:t>
      </w:r>
      <w:r>
        <w:t xml:space="preserve">as Van parcel delivery for last mile.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Energy Customization:</w:t>
      </w:r>
      <w:r>
        <w:t xml:space="preserve"> </w:t>
      </w:r>
      <w:r>
        <w:t xml:space="preserve">Production phase energy (Intensity:</w:t>
      </w:r>
      <w:r>
        <w:t xml:space="preserve"> </w:t>
      </w:r>
      <w:r>
        <w:rPr>
          <w:rStyle w:val="VerbatimChar"/>
        </w:rPr>
        <w:t xml:space="preserve">sdvwyiwpyz</w:t>
      </w:r>
      <w:r>
        <w:t xml:space="preserve">, Renewable:</w:t>
      </w:r>
      <w:r>
        <w:t xml:space="preserve"> </w:t>
      </w:r>
      <w:r>
        <w:rPr>
          <w:rStyle w:val="VerbatimChar"/>
        </w:rPr>
        <w:t xml:space="preserve">wieykpxfgu</w:t>
      </w:r>
      <w:r>
        <w:t xml:space="preserve">) was used. For calculations,</w:t>
      </w:r>
      <w:r>
        <w:t xml:space="preserve"> </w:t>
      </w:r>
      <w:r>
        <w:rPr>
          <w:rStyle w:val="VerbatimChar"/>
        </w:rPr>
        <w:t xml:space="preserve">sdvwyiwpyz</w:t>
      </w:r>
      <w:r>
        <w:t xml:space="preserve"> </w:t>
      </w:r>
      <w:r>
        <w:t xml:space="preserve">was assumed as 0.5 kWh/unit and</w:t>
      </w:r>
      <w:r>
        <w:t xml:space="preserve"> </w:t>
      </w:r>
      <w:r>
        <w:rPr>
          <w:rStyle w:val="VerbatimChar"/>
        </w:rPr>
        <w:t xml:space="preserve">wieykpxfgu</w:t>
      </w:r>
      <w:r>
        <w:t xml:space="preserve"> </w:t>
      </w:r>
      <w:r>
        <w:t xml:space="preserve">as 60%.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Use Phase Data:</w:t>
      </w:r>
      <w:r>
        <w:t xml:space="preserve"> </w:t>
      </w:r>
      <w:r>
        <w:t xml:space="preserve">Product durability (Lifespan:</w:t>
      </w:r>
      <w:r>
        <w:t xml:space="preserve"> </w:t>
      </w:r>
      <w:r>
        <w:rPr>
          <w:rStyle w:val="VerbatimChar"/>
        </w:rPr>
        <w:t xml:space="preserve">stvkznoste</w:t>
      </w:r>
      <w:r>
        <w:t xml:space="preserve">) and energy consumption (Energy in Use:</w:t>
      </w:r>
      <w:r>
        <w:t xml:space="preserve"> </w:t>
      </w:r>
      <w:r>
        <w:rPr>
          <w:rStyle w:val="VerbatimChar"/>
        </w:rPr>
        <w:t xml:space="preserve">irshtkkwid</w:t>
      </w:r>
      <w:r>
        <w:t xml:space="preserve">) were used. For calculations,</w:t>
      </w:r>
      <w:r>
        <w:t xml:space="preserve"> </w:t>
      </w:r>
      <w:r>
        <w:rPr>
          <w:rStyle w:val="VerbatimChar"/>
        </w:rPr>
        <w:t xml:space="preserve">stvkznoste</w:t>
      </w:r>
      <w:r>
        <w:t xml:space="preserve"> </w:t>
      </w:r>
      <w:r>
        <w:t xml:space="preserve">was assumed as 3 years and</w:t>
      </w:r>
      <w:r>
        <w:t xml:space="preserve"> </w:t>
      </w:r>
      <w:r>
        <w:rPr>
          <w:rStyle w:val="VerbatimChar"/>
        </w:rPr>
        <w:t xml:space="preserve">irshtkkwid</w:t>
      </w:r>
      <w:r>
        <w:t xml:space="preserve"> </w:t>
      </w:r>
      <w:r>
        <w:t xml:space="preserve">as 10 kWh/year.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End-of-Life Scenarios:</w:t>
      </w:r>
      <w:r>
        <w:t xml:space="preserve"> </w:t>
      </w:r>
      <w:r>
        <w:t xml:space="preserve">Recyclability (</w:t>
      </w:r>
      <w:r>
        <w:rPr>
          <w:rStyle w:val="VerbatimChar"/>
        </w:rPr>
        <w:t xml:space="preserve">xyrkqewzwn</w:t>
      </w:r>
      <w:r>
        <w:t xml:space="preserve">) and Circular Programs (</w:t>
      </w:r>
      <w:r>
        <w:rPr>
          <w:rStyle w:val="VerbatimChar"/>
        </w:rPr>
        <w:t xml:space="preserve">rghgnqwyrr</w:t>
      </w:r>
      <w:r>
        <w:t xml:space="preserve">) were considered. For calculations,</w:t>
      </w:r>
      <w:r>
        <w:t xml:space="preserve"> </w:t>
      </w:r>
      <w:r>
        <w:rPr>
          <w:rStyle w:val="VerbatimChar"/>
        </w:rPr>
        <w:t xml:space="preserve">xyrkqewzwn</w:t>
      </w:r>
      <w:r>
        <w:t xml:space="preserve"> </w:t>
      </w:r>
      <w:r>
        <w:t xml:space="preserve">was assumed as 70% and `rghgnqwyrr` as \'Yes\'.</w:t>
      </w:r>
    </w:p>
    <w:p>
      <w:pPr>
        <w:numPr>
          <w:ilvl w:val="0"/>
          <w:numId w:val="1001"/>
        </w:numPr>
        <w:pStyle w:val="Heading3"/>
      </w:pPr>
      <w:bookmarkStart w:id="27" w:name="calculate-emissions"/>
      <w:r>
        <w:t xml:space="preserve">4. Calculate Emissions</w:t>
      </w:r>
      <w:bookmarkEnd w:id="27"/>
    </w:p>
    <w:p>
      <w:pPr>
        <w:numPr>
          <w:ilvl w:val="0"/>
          <w:numId w:val="1000"/>
        </w:numPr>
      </w:pPr>
      <w:r>
        <w:t xml:space="preserve">Emissions were calculated using the formula: Activity Data × Emission Factor = CO2e. Industry-standard emission factors (e.g., from Ecoinvent/DEFRA) were applied. All calculations were performed in English units where appropriate.</w:t>
      </w:r>
    </w:p>
    <w:p>
      <w:pPr>
        <w:numPr>
          <w:ilvl w:val="0"/>
          <w:numId w:val="1000"/>
        </w:numPr>
        <w:pStyle w:val="Heading4"/>
      </w:pPr>
      <w:bookmarkStart w:id="28" w:name="scope-classification-and-2026-lsr-update"/>
      <w:r>
        <w:t xml:space="preserve">Scope Classification and 2026 LSR Update</w:t>
      </w:r>
      <w:bookmarkEnd w:id="28"/>
    </w:p>
    <w:p>
      <w:pPr>
        <w:numPr>
          <w:ilvl w:val="0"/>
          <w:numId w:val="1000"/>
        </w:numPr>
      </w:pPr>
      <w:r>
        <w:t xml:space="preserve">Emissions are categorized into Scope 1 (direct), Scope 2 (purchased energy), and Scope 3 (value chain) as per GHG Protocol. The 2026 Land Sector and Removals (LSR) Standard was applied by considering land use impacts within relevant material production and forest-based product lifecycles. Where applicable, biogenic carbon flows are reported separately to ensure compliance.</w:t>
      </w:r>
    </w:p>
    <w:p>
      <w:pPr>
        <w:numPr>
          <w:ilvl w:val="0"/>
          <w:numId w:val="1001"/>
        </w:numPr>
        <w:pStyle w:val="Heading3"/>
      </w:pPr>
      <w:bookmarkStart w:id="29" w:name="review-report"/>
      <w:r>
        <w:t xml:space="preserve">5. Review &amp; Report</w:t>
      </w:r>
      <w:bookmarkEnd w:id="29"/>
    </w:p>
    <w:p>
      <w:pPr>
        <w:numPr>
          <w:ilvl w:val="0"/>
          <w:numId w:val="1000"/>
        </w:numPr>
      </w:pPr>
      <w:r>
        <w:t xml:space="preserve">The calculated PCF underwent a review process to identify emission hotspots and assess data reliability. The results are presented in the following sections.</w:t>
      </w:r>
    </w:p>
    <w:p>
      <w:r>
        <w:pict>
          <v:rect style="width:0;height:1.5pt" o:hralign="center" o:hrstd="t" o:hr="t"/>
        </w:pict>
      </w:r>
    </w:p>
    <w:bookmarkEnd w:id="30"/>
    <w:bookmarkStart w:id="38" w:name="detailed-pcf-analysis-and-calculations"/>
    <w:p>
      <w:pPr>
        <w:pStyle w:val="Heading2"/>
      </w:pPr>
      <w:r>
        <w:t xml:space="preserve">Detailed PCF Analysis and Calculations</w:t>
      </w:r>
    </w:p>
    <w:bookmarkStart w:id="31" w:name="X10c20e2dbc11c71af4716acf8ad3c3e2aa5b597"/>
    <w:p>
      <w:pPr>
        <w:pStyle w:val="Heading3"/>
      </w:pPr>
      <w:r>
        <w:t xml:space="preserve">Functional Unit, System Boundary, and Geographic Scope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ewdnydivgz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factory_gate (with downstream components included for Scope 3 comprehensiveness)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China, Supply Chain Focus: Europe Focused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bookmarkEnd w:id="31"/>
    <w:bookmarkStart w:id="37" w:name="Xc01d267878a96f5d85a0560e1f0f91a6c6aab7d"/>
    <w:p>
      <w:pPr>
        <w:pStyle w:val="Heading3"/>
      </w:pPr>
      <w:r>
        <w:t xml:space="preserve">Emission Calculations by Lifecycle Stage and Scope</w:t>
      </w:r>
    </w:p>
    <w:bookmarkStart w:id="32" w:name="X1198c8af25dd1a2ebffa686809674f976343a37"/>
    <w:p>
      <w:pPr>
        <w:pStyle w:val="Heading4"/>
      </w:pPr>
      <w:r>
        <w:t xml:space="preserve">1. Material Acquisition &amp; Pre-processing (Scope 3 - Upstream)</w:t>
      </w:r>
    </w:p>
    <w:p>
      <w:pPr>
        <w:pStyle w:val="FirstParagraph"/>
      </w:pPr>
      <w:r>
        <w:t xml:space="preserve">The material impact is calculated by summing the \'Total Carbon\' values provided in the Detailed Bill of Materials (BOM) based on `stfkqnwe`.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Item 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Plastic Housing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Subtotal Materials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5.11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Material Acquisition Emissions:</w:t>
      </w:r>
      <w:r>
        <w:t xml:space="preserve"> </w:t>
      </w:r>
      <w:r>
        <w:t xml:space="preserve">5.11 kgCO2e/unit.</w:t>
      </w:r>
    </w:p>
    <w:bookmarkEnd w:id="32"/>
    <w:bookmarkStart w:id="33" w:name="X21c1ab7ad24d0dd66c098c4fa118414a88f70dc"/>
    <w:p>
      <w:pPr>
        <w:pStyle w:val="Heading4"/>
      </w:pPr>
      <w:r>
        <w:t xml:space="preserve">2. Manufacturing Phase (Scope 2 - Purchased Electricity)</w:t>
      </w:r>
    </w:p>
    <w:p>
      <w:pPr>
        <w:pStyle w:val="FirstParagraph"/>
      </w:pPr>
      <w:r>
        <w:t xml:space="preserve">Emissions from the production phase are primarily due to purchased electricity.</w:t>
      </w:r>
    </w:p>
    <w:p>
      <w:pPr>
        <w:numPr>
          <w:ilvl w:val="0"/>
          <w:numId w:val="1006"/>
        </w:numPr>
        <w:pStyle w:val="Compact"/>
      </w:pPr>
      <w:r>
        <w:t xml:space="preserve">Energy Intensity (kWh/unit):</w:t>
      </w:r>
      <w:r>
        <w:t xml:space="preserve"> </w:t>
      </w:r>
      <w:r>
        <w:rPr>
          <w:rStyle w:val="VerbatimChar"/>
        </w:rPr>
        <w:t xml:space="preserve">sdvwyiwpyz</w:t>
      </w:r>
      <w:r>
        <w:t xml:space="preserve"> </w:t>
      </w:r>
      <w:r>
        <w:t xml:space="preserve">(assumed: 0.5 kWh/unit)</w:t>
      </w:r>
    </w:p>
    <w:p>
      <w:pPr>
        <w:numPr>
          <w:ilvl w:val="0"/>
          <w:numId w:val="1006"/>
        </w:numPr>
        <w:pStyle w:val="Compact"/>
      </w:pPr>
      <w:r>
        <w:t xml:space="preserve">Renewable Energy Usage (%):</w:t>
      </w:r>
      <w:r>
        <w:t xml:space="preserve"> </w:t>
      </w:r>
      <w:r>
        <w:rPr>
          <w:rStyle w:val="VerbatimChar"/>
        </w:rPr>
        <w:t xml:space="preserve">wieykpxfgu</w:t>
      </w:r>
      <w:r>
        <w:t xml:space="preserve"> </w:t>
      </w:r>
      <w:r>
        <w:t xml:space="preserve">(assumed: 60%)</w:t>
      </w:r>
    </w:p>
    <w:p>
      <w:pPr>
        <w:numPr>
          <w:ilvl w:val="0"/>
          <w:numId w:val="1006"/>
        </w:numPr>
        <w:pStyle w:val="Compact"/>
      </w:pPr>
      <w:r>
        <w:t xml:space="preserve">Non-renewable energy portion: 0.5 kWh/unit * (1 - 0.60) = 0.2 kWh/unit</w:t>
      </w:r>
    </w:p>
    <w:p>
      <w:pPr>
        <w:numPr>
          <w:ilvl w:val="0"/>
          <w:numId w:val="1006"/>
        </w:numPr>
        <w:pStyle w:val="Compact"/>
      </w:pPr>
      <w:r>
        <w:t xml:space="preserve">Assumed Grid Emission Factor (China, non-renewable): 0.6 kgCO2e/kWh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Manufacturing Emissions:</w:t>
      </w:r>
      <w:r>
        <w:t xml:space="preserve"> </w:t>
      </w:r>
      <w:r>
        <w:t xml:space="preserve">0.2 kWh/unit * 0.6 kgCO2e/kWh = 0.12 kgCO2e/unit.</w:t>
      </w:r>
    </w:p>
    <w:p>
      <w:pPr>
        <w:pStyle w:val="FirstParagraph"/>
      </w:pPr>
      <w:r>
        <w:rPr>
          <w:bCs/>
          <w:b/>
        </w:rPr>
        <w:t xml:space="preserve">Total Manufacturing Emissions (Scope 2):</w:t>
      </w:r>
      <w:r>
        <w:t xml:space="preserve"> </w:t>
      </w:r>
      <w:r>
        <w:t xml:space="preserve">0.12 kgCO2e/unit.</w:t>
      </w:r>
    </w:p>
    <w:p>
      <w:pPr>
        <w:pStyle w:val="BodyText"/>
      </w:pPr>
      <w:r>
        <w:t xml:space="preserve">*Note: Scope 1 direct emissions from manufacturing are assumed to be negligible or not applicable for this product-level analysis based on provided parameters. If onsite fuel combustion occurs, it would be included here.*</w:t>
      </w:r>
    </w:p>
    <w:bookmarkEnd w:id="33"/>
    <w:bookmarkStart w:id="34" w:name="X9795cd1974d18f66faafdaafe7a0219ede81315"/>
    <w:p>
      <w:pPr>
        <w:pStyle w:val="Heading4"/>
      </w:pPr>
      <w:r>
        <w:t xml:space="preserve">3. Transport &amp; Logistics (Scope 3 - Upstream &amp; Downstream)</w:t>
      </w:r>
    </w:p>
    <w:p>
      <w:pPr>
        <w:pStyle w:val="FirstParagraph"/>
      </w:pPr>
      <w:r>
        <w:t xml:space="preserve">This includes both inbound transport of materials and outbound transport of the finished product. Product weight is assumed to be 1 kg for transport calculations. Emission factor for Road HGV (&gt;3.5t) is assumed at 0.09 kgCO2e/tkm, and for Van parcel delivery at 0.2 kgCO2e/tkm.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Inbound Material Transport (Europe to China):</w:t>
      </w:r>
    </w:p>
    <w:p>
      <w:pPr>
        <w:numPr>
          <w:ilvl w:val="1"/>
          <w:numId w:val="1008"/>
        </w:numPr>
        <w:pStyle w:val="Compact"/>
      </w:pPr>
      <w:r>
        <w:t xml:space="preserve">Assumed Distance: 1500 km</w:t>
      </w:r>
    </w:p>
    <w:p>
      <w:pPr>
        <w:numPr>
          <w:ilvl w:val="1"/>
          <w:numId w:val="1008"/>
        </w:numPr>
        <w:pStyle w:val="Compact"/>
      </w:pPr>
      <w:r>
        <w:t xml:space="preserve">Assumed Mode: Road HGV (&gt;3.5t)</w:t>
      </w:r>
    </w:p>
    <w:p>
      <w:pPr>
        <w:numPr>
          <w:ilvl w:val="1"/>
          <w:numId w:val="1008"/>
        </w:numPr>
        <w:pStyle w:val="Compact"/>
      </w:pPr>
      <w:r>
        <w:t xml:space="preserve">Emissions: 1 kg * 1500 km * 0.09 kgCO2e/tkm / 1000 kg/t = 0.135 kgCO2e/unit.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Outbound Product Transport (China to Europe):</w:t>
      </w:r>
    </w:p>
    <w:p>
      <w:pPr>
        <w:numPr>
          <w:ilvl w:val="1"/>
          <w:numId w:val="1009"/>
        </w:numPr>
        <w:pStyle w:val="Compact"/>
      </w:pPr>
      <w:r>
        <w:t xml:space="preserve">Primary Transport Mode:</w:t>
      </w:r>
      <w:r>
        <w:t xml:space="preserve"> </w:t>
      </w:r>
      <w:r>
        <w:rPr>
          <w:rStyle w:val="VerbatimChar"/>
        </w:rPr>
        <w:t xml:space="preserve">Select Mode</w:t>
      </w:r>
      <w:r>
        <w:t xml:space="preserve"> </w:t>
      </w:r>
      <w:r>
        <w:t xml:space="preserve">(assumed: Road HGV &gt;3.5t)</w:t>
      </w:r>
    </w:p>
    <w:p>
      <w:pPr>
        <w:numPr>
          <w:ilvl w:val="1"/>
          <w:numId w:val="1009"/>
        </w:numPr>
        <w:pStyle w:val="Compact"/>
      </w:pPr>
      <w:r>
        <w:t xml:space="preserve">Primary Transport Distance:</w:t>
      </w:r>
      <w:r>
        <w:t xml:space="preserve"> </w:t>
      </w:r>
      <w:r>
        <w:rPr>
          <w:rStyle w:val="VerbatimChar"/>
        </w:rPr>
        <w:t xml:space="preserve">wgtqtignml</w:t>
      </w:r>
      <w:r>
        <w:t xml:space="preserve"> </w:t>
      </w:r>
      <w:r>
        <w:t xml:space="preserve">(assumed: 1000 km)</w:t>
      </w:r>
    </w:p>
    <w:p>
      <w:pPr>
        <w:numPr>
          <w:ilvl w:val="1"/>
          <w:numId w:val="1009"/>
        </w:numPr>
        <w:pStyle w:val="Compact"/>
      </w:pPr>
      <w:r>
        <w:t xml:space="preserve">Emissions (Primary): 1 kg * 1000 km * 0.09 kgCO2e/tkm / 1000 kg/t = 0.09 kgCO2e/unit.</w:t>
      </w:r>
    </w:p>
    <w:p>
      <w:pPr>
        <w:numPr>
          <w:ilvl w:val="1"/>
          <w:numId w:val="1009"/>
        </w:numPr>
        <w:pStyle w:val="Compact"/>
      </w:pPr>
      <w:r>
        <w:t xml:space="preserve">Last-Mile Delivery Channel:</w:t>
      </w:r>
      <w:r>
        <w:t xml:space="preserve"> </w:t>
      </w:r>
      <w:r>
        <w:rPr>
          <w:rStyle w:val="VerbatimChar"/>
        </w:rPr>
        <w:t xml:space="preserve">Delivery Type</w:t>
      </w:r>
      <w:r>
        <w:t xml:space="preserve"> </w:t>
      </w:r>
      <w:r>
        <w:t xml:space="preserve">(assumed: Van parcel delivery)</w:t>
      </w:r>
    </w:p>
    <w:p>
      <w:pPr>
        <w:numPr>
          <w:ilvl w:val="1"/>
          <w:numId w:val="1009"/>
        </w:numPr>
        <w:pStyle w:val="Compact"/>
      </w:pPr>
      <w:r>
        <w:t xml:space="preserve">Assumed Last-Mile Distance: 50 km</w:t>
      </w:r>
    </w:p>
    <w:p>
      <w:pPr>
        <w:numPr>
          <w:ilvl w:val="1"/>
          <w:numId w:val="1009"/>
        </w:numPr>
        <w:pStyle w:val="Compact"/>
      </w:pPr>
      <w:r>
        <w:t xml:space="preserve">Emissions (Last-Mile): 1 kg * 50 km * 0.2 kgCO2e/tkm / 1000 kg/t = 0.01 kgCO2e/unit.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Total Transport Emissions:</w:t>
      </w:r>
      <w:r>
        <w:t xml:space="preserve"> </w:t>
      </w:r>
      <w:r>
        <w:t xml:space="preserve">0.135 + 0.09 + 0.01 = 0.235 kgCO2e/unit.</w:t>
      </w:r>
    </w:p>
    <w:p>
      <w:pPr>
        <w:pStyle w:val="FirstParagraph"/>
      </w:pPr>
      <w:r>
        <w:rPr>
          <w:bCs/>
          <w:b/>
        </w:rPr>
        <w:t xml:space="preserve">Total Transport Emissions (Scope 3):</w:t>
      </w:r>
      <w:r>
        <w:t xml:space="preserve"> </w:t>
      </w:r>
      <w:r>
        <w:t xml:space="preserve">0.235 kgCO2e/unit.</w:t>
      </w:r>
    </w:p>
    <w:bookmarkEnd w:id="34"/>
    <w:bookmarkStart w:id="35" w:name="use-phase-scope-3---downstream"/>
    <w:p>
      <w:pPr>
        <w:pStyle w:val="Heading4"/>
      </w:pPr>
      <w:r>
        <w:t xml:space="preserve">4. Use Phase (Scope 3 - Downstream)</w:t>
      </w:r>
    </w:p>
    <w:p>
      <w:pPr>
        <w:pStyle w:val="FirstParagraph"/>
      </w:pPr>
      <w:r>
        <w:t xml:space="preserve">Emissions from the product\'s operational use over its lifespan.</w:t>
      </w:r>
    </w:p>
    <w:p>
      <w:pPr>
        <w:numPr>
          <w:ilvl w:val="0"/>
          <w:numId w:val="1010"/>
        </w:numPr>
        <w:pStyle w:val="Compact"/>
      </w:pPr>
      <w:r>
        <w:t xml:space="preserve">Product Lifespan:</w:t>
      </w:r>
      <w:r>
        <w:t xml:space="preserve"> </w:t>
      </w:r>
      <w:r>
        <w:rPr>
          <w:rStyle w:val="VerbatimChar"/>
        </w:rPr>
        <w:t xml:space="preserve">stvkznoste</w:t>
      </w:r>
      <w:r>
        <w:t xml:space="preserve"> </w:t>
      </w:r>
      <w:r>
        <w:t xml:space="preserve">(assumed: 3 years)</w:t>
      </w:r>
    </w:p>
    <w:p>
      <w:pPr>
        <w:numPr>
          <w:ilvl w:val="0"/>
          <w:numId w:val="1010"/>
        </w:numPr>
        <w:pStyle w:val="Compact"/>
      </w:pPr>
      <w:r>
        <w:t xml:space="preserve">Energy Consumption in Use:</w:t>
      </w:r>
      <w:r>
        <w:t xml:space="preserve"> </w:t>
      </w:r>
      <w:r>
        <w:rPr>
          <w:rStyle w:val="VerbatimChar"/>
        </w:rPr>
        <w:t xml:space="preserve">irshtkkwid</w:t>
      </w:r>
      <w:r>
        <w:t xml:space="preserve"> </w:t>
      </w:r>
      <w:r>
        <w:t xml:space="preserve">(assumed: 10 kWh/year)</w:t>
      </w:r>
    </w:p>
    <w:p>
      <w:pPr>
        <w:numPr>
          <w:ilvl w:val="0"/>
          <w:numId w:val="1010"/>
        </w:numPr>
        <w:pStyle w:val="Compact"/>
      </w:pPr>
      <w:r>
        <w:t xml:space="preserve">Total Energy Consumption: 10 kWh/year * 3 years = 30 kWh.</w:t>
      </w:r>
    </w:p>
    <w:p>
      <w:pPr>
        <w:numPr>
          <w:ilvl w:val="0"/>
          <w:numId w:val="1010"/>
        </w:numPr>
        <w:pStyle w:val="Compact"/>
      </w:pPr>
      <w:r>
        <w:t xml:space="preserve">Assumed European Grid Emission Factor (average): 0.2 kgCO2e/kWh.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Use Phase Emissions:</w:t>
      </w:r>
      <w:r>
        <w:t xml:space="preserve"> </w:t>
      </w:r>
      <w:r>
        <w:t xml:space="preserve">30 kWh * 0.2 kgCO2e/kWh = 6.0 kgCO2e/unit.</w:t>
      </w:r>
    </w:p>
    <w:p>
      <w:pPr>
        <w:pStyle w:val="FirstParagraph"/>
      </w:pPr>
      <w:r>
        <w:rPr>
          <w:bCs/>
          <w:b/>
        </w:rPr>
        <w:t xml:space="preserve">Total Use Phase Emissions (Scope 3):</w:t>
      </w:r>
      <w:r>
        <w:t xml:space="preserve"> </w:t>
      </w:r>
      <w:r>
        <w:t xml:space="preserve">6.0 kgCO2e/unit.</w:t>
      </w:r>
    </w:p>
    <w:bookmarkEnd w:id="35"/>
    <w:bookmarkStart w:id="36" w:name="end-of-life-eol-scope-3---downstream"/>
    <w:p>
      <w:pPr>
        <w:pStyle w:val="Heading4"/>
      </w:pPr>
      <w:r>
        <w:t xml:space="preserve">5. End-of-Life (EoL) (Scope 3 - Downstream)</w:t>
      </w:r>
    </w:p>
    <w:p>
      <w:pPr>
        <w:pStyle w:val="FirstParagraph"/>
      </w:pPr>
      <w:r>
        <w:t xml:space="preserve">Emissions and potential avoided emissions from disposal and recycling.</w:t>
      </w:r>
    </w:p>
    <w:p>
      <w:pPr>
        <w:numPr>
          <w:ilvl w:val="0"/>
          <w:numId w:val="1011"/>
        </w:numPr>
        <w:pStyle w:val="Compact"/>
      </w:pPr>
      <w:r>
        <w:t xml:space="preserve">Recyclability Percentage:</w:t>
      </w:r>
      <w:r>
        <w:t xml:space="preserve"> </w:t>
      </w:r>
      <w:r>
        <w:rPr>
          <w:rStyle w:val="VerbatimChar"/>
        </w:rPr>
        <w:t xml:space="preserve">xyrkqewzwn</w:t>
      </w:r>
      <w:r>
        <w:t xml:space="preserve"> </w:t>
      </w:r>
      <w:r>
        <w:t xml:space="preserve">(assumed: 70%)</w:t>
      </w:r>
    </w:p>
    <w:p>
      <w:pPr>
        <w:numPr>
          <w:ilvl w:val="0"/>
          <w:numId w:val="1011"/>
        </w:numPr>
        <w:pStyle w:val="Compact"/>
      </w:pPr>
      <w:r>
        <w:t xml:space="preserve">Circular/Take-back Programs:</w:t>
      </w:r>
      <w:r>
        <w:t xml:space="preserve"> </w:t>
      </w:r>
      <w:r>
        <w:rPr>
          <w:rStyle w:val="VerbatimChar"/>
        </w:rPr>
        <w:t xml:space="preserve">rghgnqwyrr</w:t>
      </w:r>
      <w:r>
        <w:t xml:space="preserve"> </w:t>
      </w:r>
      <w:r>
        <w:t xml:space="preserve">(assumed: Yes)</w:t>
      </w:r>
    </w:p>
    <w:p>
      <w:pPr>
        <w:numPr>
          <w:ilvl w:val="0"/>
          <w:numId w:val="1011"/>
        </w:numPr>
        <w:pStyle w:val="Compact"/>
      </w:pPr>
      <w:r>
        <w:t xml:space="preserve">Non-recycled portion: 1 - 0.70 = 0.30 (30%)</w:t>
      </w:r>
    </w:p>
    <w:p>
      <w:pPr>
        <w:numPr>
          <w:ilvl w:val="0"/>
          <w:numId w:val="1011"/>
        </w:numPr>
        <w:pStyle w:val="Compact"/>
      </w:pPr>
      <w:r>
        <w:t xml:space="preserve">Product weight (for EoL): 1 kg (assumed)</w:t>
      </w:r>
    </w:p>
    <w:p>
      <w:pPr>
        <w:numPr>
          <w:ilvl w:val="0"/>
          <w:numId w:val="1011"/>
        </w:numPr>
        <w:pStyle w:val="Compact"/>
      </w:pPr>
      <w:r>
        <w:t xml:space="preserve">Assumed EoL Disposal Emission Factor (e.g., landfill/incineration for non-recycled part): 0.05 kgCO2e/kg.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EoL Disposal Emissions:</w:t>
      </w:r>
      <w:r>
        <w:t xml:space="preserve"> </w:t>
      </w:r>
      <w:r>
        <w:t xml:space="preserve">1 kg * 0.30 * 0.05 kgCO2e/kg = 0.015 kgCO2e/unit.</w:t>
      </w:r>
    </w:p>
    <w:p>
      <w:pPr>
        <w:pStyle w:val="FirstParagraph"/>
      </w:pPr>
      <w:r>
        <w:t xml:space="preserve">The presence of circular/take-back programs and high recyclability (70%) indicates significant potential for avoided emissions through material recovery and reintroduction into the economy. While direct credits are not subtracted from the PCF within a strict \'factory_gate\' boundary extended to EoL without cradle-to-cradle accounting, these programs are crucial for reducing overall system-level impacts.</w:t>
      </w:r>
    </w:p>
    <w:p>
      <w:pPr>
        <w:pStyle w:val="BodyText"/>
      </w:pPr>
      <w:r>
        <w:rPr>
          <w:bCs/>
          <w:b/>
        </w:rPr>
        <w:t xml:space="preserve">Total End-of-Life Emissions (Scope 3):</w:t>
      </w:r>
      <w:r>
        <w:t xml:space="preserve"> </w:t>
      </w:r>
      <w:r>
        <w:t xml:space="preserve">0.015 kgCO2e/unit.</w:t>
      </w:r>
    </w:p>
    <w:p>
      <w:r>
        <w:pict>
          <v:rect style="width:0;height:1.5pt" o:hralign="center" o:hrstd="t" o:hr="t"/>
        </w:pict>
      </w:r>
    </w:p>
    <w:bookmarkEnd w:id="36"/>
    <w:bookmarkEnd w:id="37"/>
    <w:bookmarkEnd w:id="38"/>
    <w:bookmarkStart w:id="41" w:name="overall-product-carbon-footprint-summary"/>
    <w:p>
      <w:pPr>
        <w:pStyle w:val="Heading2"/>
      </w:pPr>
      <w:r>
        <w:t xml:space="preserve">Overall Product Carbon Footprint Summary</w:t>
      </w:r>
    </w:p>
    <w:p>
      <w:pPr>
        <w:pStyle w:val="FirstParagraph"/>
      </w:pPr>
      <w:r>
        <w:t xml:space="preserve">The total Product Carbon Footprint for one functional unit of ewdnydivgz is summarized below, categorized by lifecycle stage and GHG Protocol scopes.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 Acquisition &amp; Pre-processing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5.110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Transport &amp; Logistics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 &amp; Downstream)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Product Carbon Footprint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11.480</w:t>
            </w:r>
          </w:p>
        </w:tc>
        <w:tc>
          <w:tcPr/>
          <w:p>
            <w:pPr>
              <w:pStyle w:val="Compact"/>
            </w:pPr>
          </w:p>
        </w:tc>
      </w:tr>
    </w:tbl>
    <w:bookmarkStart w:id="39" w:name="ghg-protocol-scope-summary"/>
    <w:p>
      <w:pPr>
        <w:pStyle w:val="Heading3"/>
      </w:pPr>
      <w:r>
        <w:t xml:space="preserve">GHG Protocol Scope Summary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Percentage of Total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1 (Direct Emissions)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2 (Purchased Energy)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 (Value Chain)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11.360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98.96%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PCF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11.480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100.00%</w:t>
            </w:r>
          </w:p>
        </w:tc>
      </w:tr>
    </w:tbl>
    <w:bookmarkEnd w:id="39"/>
    <w:bookmarkStart w:id="40" w:name="key-insights-and-hotspots"/>
    <w:p>
      <w:pPr>
        <w:pStyle w:val="Heading3"/>
      </w:pPr>
      <w:r>
        <w:t xml:space="preserve">Key Insights and Hotspots</w:t>
      </w:r>
    </w:p>
    <w:p>
      <w:pPr>
        <w:numPr>
          <w:ilvl w:val="0"/>
          <w:numId w:val="1012"/>
        </w:numPr>
        <w:pStyle w:val="Compact"/>
      </w:pPr>
      <w:r>
        <w:t xml:space="preserve">The total Product Carbon Footprint for ewdnydivgz is</w:t>
      </w:r>
      <w:r>
        <w:t xml:space="preserve"> </w:t>
      </w:r>
      <w:r>
        <w:rPr>
          <w:bCs/>
          <w:b/>
        </w:rPr>
        <w:t xml:space="preserve">11.48 kgCO2e per unit</w:t>
      </w:r>
      <w:r>
        <w:t xml:space="preserve">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Scope 3 emissions dominate</w:t>
      </w:r>
      <w:r>
        <w:t xml:space="preserve">, accounting for approximately 98.96% of the total PCF, highlighting the importance of value chain engagement. This exceeds the 95% Scope 3 coverage requirement for 2026.</w:t>
      </w:r>
    </w:p>
    <w:p>
      <w:pPr>
        <w:numPr>
          <w:ilvl w:val="0"/>
          <w:numId w:val="1012"/>
        </w:numPr>
        <w:pStyle w:val="Compact"/>
      </w:pPr>
      <w:r>
        <w:t xml:space="preserve">The most significant hotspots are identified in the</w:t>
      </w:r>
      <w:r>
        <w:t xml:space="preserve"> </w:t>
      </w:r>
      <w:r>
        <w:rPr>
          <w:bCs/>
          <w:b/>
        </w:rPr>
        <w:t xml:space="preserve">Use Phase (6.00 kgCO2e, 52.26%)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Material Acquisition (5.11 kgCO2e, 44.51%)</w:t>
      </w:r>
      <w:r>
        <w:t xml:space="preserve">.</w:t>
      </w:r>
    </w:p>
    <w:p>
      <w:pPr>
        <w:numPr>
          <w:ilvl w:val="0"/>
          <w:numId w:val="1012"/>
        </w:numPr>
        <w:pStyle w:val="Compact"/>
      </w:pPr>
      <w:r>
        <w:t xml:space="preserve">Manufacturing (Scope 2) and End-of-Life stages contribute relatively smaller proportions to the overall footprint.</w:t>
      </w:r>
    </w:p>
    <w:p>
      <w:pPr>
        <w:numPr>
          <w:ilvl w:val="0"/>
          <w:numId w:val="1012"/>
        </w:numPr>
        <w:pStyle w:val="Compact"/>
      </w:pPr>
      <w:r>
        <w:t xml:space="preserve">The high percentage of renewable energy (60%) used in manufacturing significantly mitigates Scope 2 emissions.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2" w:name="recommendations-for-emission-reduction"/>
    <w:p>
      <w:pPr>
        <w:pStyle w:val="Heading2"/>
      </w:pPr>
      <w:r>
        <w:t xml:space="preserve">Recommendations for Emission Reduction</w:t>
      </w:r>
    </w:p>
    <w:p>
      <w:pPr>
        <w:pStyle w:val="FirstParagraph"/>
      </w:pPr>
      <w:r>
        <w:t xml:space="preserve">Based on this PCF analysis, oqprriwwtj should focus on the following areas to reduce the environmental impact of ewdnydivgz: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Use Phase Optimization:</w:t>
      </w:r>
      <w:r>
        <w:t xml:space="preserve"> </w:t>
      </w:r>
      <w:r>
        <w:t xml:space="preserve">Investigate opportunities to reduce energy consumption during the product\'s lifespan, potentially through more energy-efficient designs, software optimizations, or promoting efficient usage patterns to customers.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Material Innovations:</w:t>
      </w:r>
      <w:r>
        <w:t xml:space="preserve"> </w:t>
      </w:r>
      <w:r>
        <w:t xml:space="preserve">Explore alternative, lower-carbon materials for the Aluminum Casing and Circuit Board, which are significant contributors in the material acquisition phase. Prioritize sourcing materials with lower embodied carbon.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Supply Chain Engagement:</w:t>
      </w:r>
      <w:r>
        <w:t xml:space="preserve"> </w:t>
      </w:r>
      <w:r>
        <w:t xml:space="preserve">Collaborate with suppliers to understand and reduce the upstream emissions associated with raw material production, particularly for high-impact components.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Circular Economy Initiatives:</w:t>
      </w:r>
      <w:r>
        <w:t xml:space="preserve"> </w:t>
      </w:r>
      <w:r>
        <w:t xml:space="preserve">Continue to leverage the high recyclability (70%) and existing take-back programs (</w:t>
      </w:r>
      <w:r>
        <w:rPr>
          <w:rStyle w:val="VerbatimChar"/>
        </w:rPr>
        <w:t xml:space="preserve">rghgnqwyrr</w:t>
      </w:r>
      <w:r>
        <w:t xml:space="preserve">) to maximize material recovery and minimize virgin material demand. Explore design for disassembly to further enhance recyclability.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Renewable Energy Expansion:</w:t>
      </w:r>
      <w:r>
        <w:t xml:space="preserve"> </w:t>
      </w:r>
      <w:r>
        <w:t xml:space="preserve">While already strong at 60%, continued investment in and transition to 100% renewable energy for manufacturing operations will further reduce Scope 2 emissions.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 | Page</w:t>
      </w:r>
      <w:r>
        <w:t xml:space="preserve"> </w:t>
      </w:r>
    </w:p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ewdnydivgz by oqprriwwtj</dc:title>
  <dc:creator/>
  <dc:description>Detailed Product Carbon Footprint (PCF) analysis for ewdnydivgz by oqprriwwtj, conducted by Senior Sustainability Consultant xxlexpqhel, adhering to GHG Protocol standards with 2026 LSR and Scope 3 compliance.</dc:description>
  <dc:language>en</dc:language>
  <cp:keywords/>
  <dcterms:created xsi:type="dcterms:W3CDTF">2026-05-30T16:03:49Z</dcterms:created>
  <dcterms:modified xsi:type="dcterms:W3CDTF">2026-05-30T16:03:49Z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