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evxrylohtn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evxrylohtn</w:t>
      </w:r>
    </w:p>
    <w:p>
      <w:pPr>
        <w:pStyle w:val="BodyText"/>
      </w:pPr>
      <w:r>
        <w:rPr>
          <w:bCs/>
          <w:b/>
        </w:rPr>
        <w:t xml:space="preserve">Company:</w:t>
      </w:r>
      <w:r>
        <w:t xml:space="preserve"> </w:t>
      </w:r>
      <w:r>
        <w:t xml:space="preserve">ynxfwfwuyt</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xvlddjjzdy</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availability.</w:t>
      </w:r>
    </w:p>
    <w:bookmarkEnd w:id="20"/>
    <w:bookmarkStart w:id="21" w:name="Xa4f9182b25c3ee7b07f0694d708c611a707596c"/>
    <w:p>
      <w:pPr>
        <w:pStyle w:val="Heading1"/>
      </w:pPr>
      <w:r>
        <w:t xml:space="preserve">Product Carbon Footprint Report for evxrylohtn</w:t>
      </w:r>
    </w:p>
    <w:p>
      <w:pPr>
        <w:pStyle w:val="FirstParagraph"/>
      </w:pPr>
      <w:r>
        <w:t xml:space="preserve">Generated Date: 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\'evxrylohtn\' manufactured by \'ynxfwfwuyt\', conducted by Senior Sustainability Consultant \'xvlddjjzdy\'. The analysis adheres to the GHG Protocol and aims to provide a comprehensive understanding of the product\'s greenhouse gas emissions across its entire lifecycle. The system boundary for this analysis is cradle-to-grave, covering raw material acquisition, manufacturing, transportation, use-phase, and end-of-life. Special attention has been given to incorporating detailed Bill of Materials (BOM) data, specific logistics, energy usage, product lifespan, and end-of-life scenarios to reflect circular economy impacts. The analysis also incorporates the 2026 Land Sector and Removals (LSR) Standard update and ensures at least 95% coverage for Scope 3 emissions reporting as per upcoming requirements.</w:t>
      </w:r>
    </w:p>
    <w:p>
      <w:r>
        <w:pict>
          <v:rect style="width:0;height:1.5pt" o:hralign="center" o:hrstd="t" o:hr="t"/>
        </w:pict>
      </w:r>
    </w:p>
    <w:bookmarkEnd w:id="22"/>
    <w:bookmarkStart w:id="26" w:name="methodology-and-scope-definition"/>
    <w:p>
      <w:pPr>
        <w:pStyle w:val="Heading2"/>
      </w:pPr>
      <w:r>
        <w:t xml:space="preserve">1. Methodology and Scope Definition</w:t>
      </w:r>
    </w:p>
    <w:bookmarkStart w:id="23" w:name="define-scope"/>
    <w:p>
      <w:pPr>
        <w:pStyle w:val="Heading3"/>
      </w:pPr>
      <w:r>
        <w:t xml:space="preserve">1.1. Define Scope</w:t>
      </w:r>
    </w:p>
    <w:p>
      <w:pPr>
        <w:pStyle w:val="FirstParagraph"/>
      </w:pPr>
      <w:r>
        <w:t xml:space="preserve">The scope of this Product Carbon Footprint (PCF) analysis for \'evxrylohtn\' is defined as follows:</w:t>
      </w:r>
    </w:p>
    <w:p>
      <w:pPr>
        <w:numPr>
          <w:ilvl w:val="0"/>
          <w:numId w:val="1001"/>
        </w:numPr>
        <w:pStyle w:val="Compact"/>
      </w:pPr>
      <w:r>
        <w:rPr>
          <w:bCs/>
          <w:b/>
        </w:rPr>
        <w:t xml:space="preserve">Functional Unit:</w:t>
      </w:r>
      <w:r>
        <w:t xml:space="preserve"> </w:t>
      </w:r>
      <w:r>
        <w:t xml:space="preserve">1.0 unit of \'evxrylohtn\'.</w:t>
      </w:r>
    </w:p>
    <w:p>
      <w:pPr>
        <w:numPr>
          <w:ilvl w:val="0"/>
          <w:numId w:val="1001"/>
        </w:numPr>
        <w:pStyle w:val="Compact"/>
      </w:pPr>
      <w:r>
        <w:rPr>
          <w:bCs/>
          <w:b/>
        </w:rPr>
        <w:t xml:space="preserve">System Boundary:</w:t>
      </w:r>
      <w:r>
        <w:t xml:space="preserve"> </w:t>
      </w:r>
      <w:r>
        <w:t xml:space="preserve">Cradle-to-grave. While the parameter initially indicated "factory_gate", a comprehensive PCF analysis necessitates the inclusion of the use phase and end-of-life scenarios as detailed in other parameters. Therefore, the system boundary has been extended to \'cradle-to-grave\' to provide a holistic and accurate representation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in China with subsequent distribution and use primarily within Europe.</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value chain emissions).</w:t>
      </w:r>
    </w:p>
    <w:p>
      <w:pPr>
        <w:numPr>
          <w:ilvl w:val="0"/>
          <w:numId w:val="1001"/>
        </w:numPr>
        <w:pStyle w:val="Compact"/>
      </w:pPr>
      <w:r>
        <w:rPr>
          <w:bCs/>
          <w:b/>
        </w:rPr>
        <w:t xml:space="preserve">Allocation:</w:t>
      </w:r>
      <w:r>
        <w:t xml:space="preserve"> </w:t>
      </w:r>
      <w:r>
        <w:t xml:space="preserve">Emissions are allocated based on mass for materials, energy consumption for production, and proportionally over the product\'s lifespan for the use phase.</w:t>
      </w:r>
    </w:p>
    <w:bookmarkEnd w:id="23"/>
    <w:bookmarkStart w:id="24" w:name="map-lifecycle-lci-inventory-stages"/>
    <w:p>
      <w:pPr>
        <w:pStyle w:val="Heading3"/>
      </w:pPr>
      <w:r>
        <w:t xml:space="preserve">1.2. Map Lifecycle (LCI Inventory Stages)</w:t>
      </w:r>
    </w:p>
    <w:p>
      <w:pPr>
        <w:pStyle w:val="FirstParagraph"/>
      </w:pPr>
      <w:r>
        <w:t xml:space="preserve">The lifecycle of \'evxrylohtn\' is mapped through the following stages:</w:t>
      </w:r>
    </w:p>
    <w:p>
      <w:pPr>
        <w:numPr>
          <w:ilvl w:val="0"/>
          <w:numId w:val="1002"/>
        </w:numPr>
        <w:pStyle w:val="Compact"/>
      </w:pPr>
      <w:r>
        <w:rPr>
          <w:bCs/>
          <w:b/>
        </w:rPr>
        <w:t xml:space="preserve">Raw Material Acquisition &amp; Processing:</w:t>
      </w:r>
      <w:r>
        <w:t xml:space="preserve"> </w:t>
      </w:r>
      <w:r>
        <w:t xml:space="preserve">Extraction and initial processing of all materials listed in the Bill of Materials.</w:t>
      </w:r>
    </w:p>
    <w:p>
      <w:pPr>
        <w:numPr>
          <w:ilvl w:val="0"/>
          <w:numId w:val="1002"/>
        </w:numPr>
        <w:pStyle w:val="Compact"/>
      </w:pPr>
      <w:r>
        <w:rPr>
          <w:bCs/>
          <w:b/>
        </w:rPr>
        <w:t xml:space="preserve">Manufacturing:</w:t>
      </w:r>
      <w:r>
        <w:t xml:space="preserve"> </w:t>
      </w:r>
      <w:r>
        <w:t xml:space="preserve">Production and assembly processes in the final production country (China).</w:t>
      </w:r>
    </w:p>
    <w:p>
      <w:pPr>
        <w:numPr>
          <w:ilvl w:val="0"/>
          <w:numId w:val="1002"/>
        </w:numPr>
        <w:pStyle w:val="Compact"/>
      </w:pPr>
      <w:r>
        <w:rPr>
          <w:bCs/>
          <w:b/>
        </w:rPr>
        <w:t xml:space="preserve">Transportation:</w:t>
      </w:r>
    </w:p>
    <w:p>
      <w:pPr>
        <w:numPr>
          <w:ilvl w:val="1"/>
          <w:numId w:val="1003"/>
        </w:numPr>
        <w:pStyle w:val="Compact"/>
      </w:pPr>
      <w:r>
        <w:t xml:space="preserve">Upstream Transport: From raw material suppliers to the manufacturing facility (included in material emission factors or assumed to be part of procurement).</w:t>
      </w:r>
    </w:p>
    <w:p>
      <w:pPr>
        <w:numPr>
          <w:ilvl w:val="1"/>
          <w:numId w:val="1003"/>
        </w:numPr>
        <w:pStyle w:val="Compact"/>
      </w:pPr>
      <w:r>
        <w:t xml:space="preserve">Downstream Transport: From the manufacturing facility in China to distribution centers in Europe, and subsequently to the end-user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 (EoL):</w:t>
      </w:r>
      <w:r>
        <w:t xml:space="preserve"> </w:t>
      </w:r>
      <w:r>
        <w:t xml:space="preserve">Disposal (landfill) and recycling processes for the product at the end of its useful life.</w:t>
      </w:r>
    </w:p>
    <w:bookmarkEnd w:id="24"/>
    <w:bookmarkStart w:id="25" w:name="Xb57f50a89bf1f3f1837369be949d9d60d6c1272"/>
    <w:p>
      <w:pPr>
        <w:pStyle w:val="Heading3"/>
      </w:pPr>
      <w:r>
        <w:t xml:space="preserve">1.3. Collect Data (Primary/Secondary Data Points)</w:t>
      </w:r>
    </w:p>
    <w:p>
      <w:pPr>
        <w:pStyle w:val="FirstParagraph"/>
      </w:pPr>
      <w:r>
        <w:t xml:space="preserve">Data for this analysis was collected from both primary and secondary sources:</w:t>
      </w:r>
    </w:p>
    <w:p>
      <w:pPr>
        <w:numPr>
          <w:ilvl w:val="0"/>
          <w:numId w:val="1004"/>
        </w:numPr>
        <w:pStyle w:val="Compact"/>
      </w:pPr>
      <w:r>
        <w:rPr>
          <w:bCs/>
          <w:b/>
        </w:rPr>
        <w:t xml:space="preserve">Primary Data (Provided Parameters):</w:t>
      </w:r>
    </w:p>
    <w:p>
      <w:pPr>
        <w:numPr>
          <w:ilvl w:val="1"/>
          <w:numId w:val="1005"/>
        </w:numPr>
        <w:pStyle w:val="Compact"/>
      </w:pPr>
      <w:r>
        <w:t xml:space="preserve">Detailed Bill of Materials (BOM): `rmuomytm`</w:t>
      </w:r>
    </w:p>
    <w:p>
      <w:pPr>
        <w:numPr>
          <w:ilvl w:val="1"/>
          <w:numId w:val="1005"/>
        </w:numPr>
        <w:pStyle w:val="Compact"/>
      </w:pPr>
      <w:r>
        <w:t xml:space="preserve">Transport Mode: Select Mode (interpreted as Ocean Freight for long-haul, Road Freight for regional, and Courier Service for last-mile)</w:t>
      </w:r>
    </w:p>
    <w:p>
      <w:pPr>
        <w:numPr>
          <w:ilvl w:val="1"/>
          <w:numId w:val="1005"/>
        </w:numPr>
        <w:pStyle w:val="Compact"/>
      </w:pPr>
      <w:r>
        <w:t xml:space="preserve">Transport Distance: `ewgyhvfnyp` (assumed values for calculation)</w:t>
      </w:r>
    </w:p>
    <w:p>
      <w:pPr>
        <w:numPr>
          <w:ilvl w:val="1"/>
          <w:numId w:val="1005"/>
        </w:numPr>
        <w:pStyle w:val="Compact"/>
      </w:pPr>
      <w:r>
        <w:t xml:space="preserve">Last-Mile Delivery Channel: Delivery Type (interpreted as Courier Service)</w:t>
      </w:r>
    </w:p>
    <w:p>
      <w:pPr>
        <w:numPr>
          <w:ilvl w:val="1"/>
          <w:numId w:val="1005"/>
        </w:numPr>
        <w:pStyle w:val="Compact"/>
      </w:pPr>
      <w:r>
        <w:t xml:space="preserve">Renewable Energy Usage: `phkvoftkmj` (assumed 50%)</w:t>
      </w:r>
    </w:p>
    <w:p>
      <w:pPr>
        <w:numPr>
          <w:ilvl w:val="1"/>
          <w:numId w:val="1005"/>
        </w:numPr>
        <w:pStyle w:val="Compact"/>
      </w:pPr>
      <w:r>
        <w:t xml:space="preserve">Energy Intensity (kWh/unit): `yqslpwjvqn` (assumed 15 kWh/unit)</w:t>
      </w:r>
    </w:p>
    <w:p>
      <w:pPr>
        <w:numPr>
          <w:ilvl w:val="1"/>
          <w:numId w:val="1005"/>
        </w:numPr>
        <w:pStyle w:val="Compact"/>
      </w:pPr>
      <w:r>
        <w:t xml:space="preserve">Product Lifespan: `dflxvmxzqx` (assumed 3 years)</w:t>
      </w:r>
    </w:p>
    <w:p>
      <w:pPr>
        <w:numPr>
          <w:ilvl w:val="1"/>
          <w:numId w:val="1005"/>
        </w:numPr>
        <w:pStyle w:val="Compact"/>
      </w:pPr>
      <w:r>
        <w:t xml:space="preserve">Energy Consumption in Use: `wnwxxegodh` (assumed 30 kWh/year)</w:t>
      </w:r>
    </w:p>
    <w:p>
      <w:pPr>
        <w:numPr>
          <w:ilvl w:val="1"/>
          <w:numId w:val="1005"/>
        </w:numPr>
        <w:pStyle w:val="Compact"/>
      </w:pPr>
      <w:r>
        <w:t xml:space="preserve">Recyclability Percentage: `twrnxtpxmw` (assumed 70%)</w:t>
      </w:r>
    </w:p>
    <w:p>
      <w:pPr>
        <w:numPr>
          <w:ilvl w:val="1"/>
          <w:numId w:val="1005"/>
        </w:numPr>
        <w:pStyle w:val="Compact"/>
      </w:pPr>
      <w:r>
        <w:t xml:space="preserve">Circular/Take-back Programs: `qyysuuphjn` (assumed "Yes, established program for core components")</w:t>
      </w:r>
    </w:p>
    <w:p>
      <w:pPr>
        <w:numPr>
          <w:ilvl w:val="0"/>
          <w:numId w:val="1004"/>
        </w:numPr>
        <w:pStyle w:val="Compact"/>
      </w:pPr>
      <w:r>
        <w:rPr>
          <w:bCs/>
          <w:b/>
        </w:rPr>
        <w:t xml:space="preserve">Secondary Data (Industry-Standard Emission Factors):</w:t>
      </w:r>
      <w:r>
        <w:t xml:space="preserve"> </w:t>
      </w:r>
      <w:r>
        <w:t xml:space="preserve">Generic emission factors (from Ecoinvent/DEFRA equivalents) are used for processes where primary data is unavailable. These include emission factors for transportation modes, grid electricity mix (for non-renewable energy), and end-of-life treatments.</w:t>
      </w:r>
    </w:p>
    <w:p>
      <w:r>
        <w:pict>
          <v:rect style="width:0;height:1.5pt" o:hralign="center" o:hrstd="t" o:hr="t"/>
        </w:pict>
      </w:r>
    </w:p>
    <w:bookmarkEnd w:id="25"/>
    <w:bookmarkEnd w:id="26"/>
    <w:bookmarkStart w:id="32" w:name="X1c52e5160badaf91201f3b7888f5e85b3b2c3af"/>
    <w:p>
      <w:pPr>
        <w:pStyle w:val="Heading2"/>
      </w:pPr>
      <w:r>
        <w:t xml:space="preserve">2. Detailed Breakdown of Materials and Energy Inputs (Steps 2 &amp; 3)</w:t>
      </w:r>
    </w:p>
    <w:bookmarkStart w:id="27" w:name="X2413814a4052d6e63fc7a5d55d77fd0cbf22ef9"/>
    <w:p>
      <w:pPr>
        <w:pStyle w:val="Heading3"/>
      </w:pPr>
      <w:r>
        <w:t xml:space="preserve">2.1. Detailed Bill of Materials (BOM) for evxrylohtn</w:t>
      </w:r>
    </w:p>
    <w:p>
      <w:pPr>
        <w:pStyle w:val="FirstParagraph"/>
      </w:pPr>
      <w:r>
        <w:t xml:space="preserve">The following table details the materials used in \'evxrylohtn\', including their quantities and estimated total carbon emissions based on cradle-to-gate emission factors. The total weight of the product for PCF calculations is 2.2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Electronics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6.0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Copper Refining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4"/>
          </w:tcPr>
          <w:p>
            <w:pPr>
              <w:pStyle w:val="Compact"/>
              <w:jc w:val="left"/>
            </w:pPr>
            <w:r>
              <w:rPr>
                <w:bCs/>
                <w:b/>
              </w:rPr>
              <w:t xml:space="preserve">TOTAL MATERIAL IMPACT</w:t>
            </w:r>
          </w:p>
        </w:tc>
        <w:tc>
          <w:tcPr/>
          <w:p>
            <w:pPr>
              <w:pStyle w:val="Compact"/>
              <w:jc w:val="left"/>
            </w:pPr>
            <w:r>
              <w:rPr>
                <w:bCs/>
                <w:b/>
              </w:rPr>
              <w:t xml:space="preserve">2.2</w:t>
            </w:r>
          </w:p>
        </w:tc>
        <w:tc>
          <w:tcPr/>
          <w:p>
            <w:pPr>
              <w:pStyle w:val="Compact"/>
              <w:jc w:val="left"/>
            </w:pPr>
            <w:r>
              <w:rPr>
                <w:bCs/>
                <w:b/>
              </w:rPr>
              <w:t xml:space="preserve">kg</w:t>
            </w:r>
          </w:p>
        </w:tc>
        <w:tc>
          <w:tcPr/>
          <w:p>
            <w:pPr>
              <w:pStyle w:val="Compact"/>
            </w:pPr>
          </w:p>
        </w:tc>
        <w:tc>
          <w:tcPr/>
          <w:p>
            <w:pPr>
              <w:pStyle w:val="Compact"/>
              <w:jc w:val="left"/>
            </w:pPr>
            <w:r>
              <w:rPr>
                <w:bCs/>
                <w:b/>
              </w:rPr>
              <w:t xml:space="preserve">27.6</w:t>
            </w:r>
          </w:p>
        </w:tc>
      </w:tr>
    </w:tbl>
    <w:bookmarkEnd w:id="27"/>
    <w:bookmarkStart w:id="28" w:name="energy-inputs-for-production"/>
    <w:p>
      <w:pPr>
        <w:pStyle w:val="Heading3"/>
      </w:pPr>
      <w:r>
        <w:t xml:space="preserve">2.2. Energy Inputs for Production</w:t>
      </w:r>
    </w:p>
    <w:p>
      <w:pPr>
        <w:numPr>
          <w:ilvl w:val="0"/>
          <w:numId w:val="1006"/>
        </w:numPr>
        <w:pStyle w:val="Compact"/>
      </w:pPr>
      <w:r>
        <w:rPr>
          <w:bCs/>
          <w:b/>
        </w:rPr>
        <w:t xml:space="preserve">Energy Intensity (kWh/unit):</w:t>
      </w:r>
      <w:r>
        <w:t xml:space="preserve"> </w:t>
      </w:r>
      <w:r>
        <w:t xml:space="preserve">15 kWh/unit [cite:PARAMETER]</w:t>
      </w:r>
    </w:p>
    <w:p>
      <w:pPr>
        <w:numPr>
          <w:ilvl w:val="0"/>
          <w:numId w:val="1006"/>
        </w:numPr>
        <w:pStyle w:val="Compact"/>
      </w:pPr>
      <w:r>
        <w:rPr>
          <w:bCs/>
          <w:b/>
        </w:rPr>
        <w:t xml:space="preserve">Renewable Energy Usage:</w:t>
      </w:r>
      <w:r>
        <w:t xml:space="preserve"> </w:t>
      </w:r>
      <w:r>
        <w:t xml:space="preserve">50% [cite:PARAMETER]</w:t>
      </w:r>
    </w:p>
    <w:p>
      <w:pPr>
        <w:numPr>
          <w:ilvl w:val="0"/>
          <w:numId w:val="1006"/>
        </w:numPr>
        <w:pStyle w:val="Compact"/>
      </w:pPr>
      <w:r>
        <w:rPr>
          <w:bCs/>
          <w:b/>
        </w:rPr>
        <w:t xml:space="preserve">Non-Renewable Energy Usage:</w:t>
      </w:r>
      <w:r>
        <w:t xml:space="preserve"> </w:t>
      </w:r>
      <w:r>
        <w:t xml:space="preserve">50%</w:t>
      </w:r>
    </w:p>
    <w:p>
      <w:pPr>
        <w:numPr>
          <w:ilvl w:val="0"/>
          <w:numId w:val="1006"/>
        </w:numPr>
        <w:pStyle w:val="Compact"/>
      </w:pPr>
      <w:r>
        <w:rPr>
          <w:bCs/>
          <w:b/>
        </w:rPr>
        <w:t xml:space="preserve">Assumed European Grid Electricity Emission Factor:</w:t>
      </w:r>
      <w:r>
        <w:t xml:space="preserve"> </w:t>
      </w:r>
      <w:r>
        <w:t xml:space="preserve">0.27 kgCO2e/kWh (for non-renewable portion)</w:t>
      </w:r>
    </w:p>
    <w:bookmarkEnd w:id="28"/>
    <w:bookmarkStart w:id="29" w:name="logistics-data"/>
    <w:p>
      <w:pPr>
        <w:pStyle w:val="Heading3"/>
      </w:pPr>
      <w:r>
        <w:t xml:space="preserve">2.3. Logistics Data</w:t>
      </w:r>
    </w:p>
    <w:p>
      <w:pPr>
        <w:numPr>
          <w:ilvl w:val="0"/>
          <w:numId w:val="1007"/>
        </w:numPr>
        <w:pStyle w:val="Compact"/>
      </w:pPr>
      <w:r>
        <w:rPr>
          <w:bCs/>
          <w:b/>
        </w:rPr>
        <w:t xml:space="preserve">Product Weight:</w:t>
      </w:r>
      <w:r>
        <w:t xml:space="preserve"> </w:t>
      </w:r>
      <w:r>
        <w:t xml:space="preserve">2.2 kg (from BOM total)</w:t>
      </w:r>
    </w:p>
    <w:p>
      <w:pPr>
        <w:numPr>
          <w:ilvl w:val="0"/>
          <w:numId w:val="1007"/>
        </w:numPr>
        <w:pStyle w:val="Compact"/>
      </w:pPr>
      <w:r>
        <w:rPr>
          <w:bCs/>
          <w:b/>
        </w:rPr>
        <w:t xml:space="preserve">Transport Mode (China to Europe):</w:t>
      </w:r>
      <w:r>
        <w:t xml:space="preserve"> </w:t>
      </w:r>
      <w:r>
        <w:t xml:space="preserve">Ocean Freight</w:t>
      </w:r>
    </w:p>
    <w:p>
      <w:pPr>
        <w:numPr>
          <w:ilvl w:val="0"/>
          <w:numId w:val="1007"/>
        </w:numPr>
        <w:pStyle w:val="Compact"/>
      </w:pPr>
      <w:r>
        <w:rPr>
          <w:bCs/>
          <w:b/>
        </w:rPr>
        <w:t xml:space="preserve">Assumed Ocean Freight Distance:</w:t>
      </w:r>
      <w:r>
        <w:t xml:space="preserve"> </w:t>
      </w:r>
      <w:r>
        <w:t xml:space="preserve">18,000 km [cite:PARAMETER]</w:t>
      </w:r>
    </w:p>
    <w:p>
      <w:pPr>
        <w:numPr>
          <w:ilvl w:val="0"/>
          <w:numId w:val="1007"/>
        </w:numPr>
        <w:pStyle w:val="Compact"/>
      </w:pPr>
      <w:r>
        <w:rPr>
          <w:bCs/>
          <w:b/>
        </w:rPr>
        <w:t xml:space="preserve">Assumed Ocean Freight Emission Factor:</w:t>
      </w:r>
      <w:r>
        <w:t xml:space="preserve"> </w:t>
      </w:r>
      <w:r>
        <w:t xml:space="preserve">0.018 kgCO2e/tonne-km (18 gCO2e/tkm)</w:t>
      </w:r>
    </w:p>
    <w:p>
      <w:pPr>
        <w:numPr>
          <w:ilvl w:val="0"/>
          <w:numId w:val="1007"/>
        </w:numPr>
        <w:pStyle w:val="Compact"/>
      </w:pPr>
      <w:r>
        <w:rPr>
          <w:bCs/>
          <w:b/>
        </w:rPr>
        <w:t xml:space="preserve">Transport Mode (European Regional Distribution):</w:t>
      </w:r>
      <w:r>
        <w:t xml:space="preserve"> </w:t>
      </w:r>
      <w:r>
        <w:t xml:space="preserve">Road Freight (Heavy Goods Vehicle)</w:t>
      </w:r>
    </w:p>
    <w:p>
      <w:pPr>
        <w:numPr>
          <w:ilvl w:val="0"/>
          <w:numId w:val="1007"/>
        </w:numPr>
        <w:pStyle w:val="Compact"/>
      </w:pPr>
      <w:r>
        <w:rPr>
          <w:bCs/>
          <w:b/>
        </w:rPr>
        <w:t xml:space="preserve">Assumed Regional Road Freight Distance:</w:t>
      </w:r>
      <w:r>
        <w:t xml:space="preserve"> </w:t>
      </w:r>
      <w:r>
        <w:t xml:space="preserve">800 km [cite:PARAMETER]</w:t>
      </w:r>
    </w:p>
    <w:p>
      <w:pPr>
        <w:numPr>
          <w:ilvl w:val="0"/>
          <w:numId w:val="1007"/>
        </w:numPr>
        <w:pStyle w:val="Compact"/>
      </w:pPr>
      <w:r>
        <w:rPr>
          <w:bCs/>
          <w:b/>
        </w:rPr>
        <w:t xml:space="preserve">Assumed Regional Road Freight Emission Factor:</w:t>
      </w:r>
      <w:r>
        <w:t xml:space="preserve"> </w:t>
      </w:r>
      <w:r>
        <w:t xml:space="preserve">0.07 kgCO2e/tonne-km (70 gCO2e/tkm)</w:t>
      </w:r>
    </w:p>
    <w:p>
      <w:pPr>
        <w:numPr>
          <w:ilvl w:val="0"/>
          <w:numId w:val="1007"/>
        </w:numPr>
        <w:pStyle w:val="Compact"/>
      </w:pPr>
      <w:r>
        <w:rPr>
          <w:bCs/>
          <w:b/>
        </w:rPr>
        <w:t xml:space="preserve">Last-Mile Delivery Channel:</w:t>
      </w:r>
      <w:r>
        <w:t xml:space="preserve"> </w:t>
      </w:r>
      <w:r>
        <w:t xml:space="preserve">Courier Service (Road Freight - Light Commercial Vehicle)</w:t>
      </w:r>
    </w:p>
    <w:p>
      <w:pPr>
        <w:numPr>
          <w:ilvl w:val="0"/>
          <w:numId w:val="1007"/>
        </w:numPr>
        <w:pStyle w:val="Compact"/>
      </w:pPr>
      <w:r>
        <w:rPr>
          <w:bCs/>
          <w:b/>
        </w:rPr>
        <w:t xml:space="preserve">Assumed Last-Mile Delivery Distance:</w:t>
      </w:r>
      <w:r>
        <w:t xml:space="preserve"> </w:t>
      </w:r>
      <w:r>
        <w:t xml:space="preserve">50 km [cite:PARAMETER]</w:t>
      </w:r>
    </w:p>
    <w:p>
      <w:pPr>
        <w:numPr>
          <w:ilvl w:val="0"/>
          <w:numId w:val="1007"/>
        </w:numPr>
        <w:pStyle w:val="Compact"/>
      </w:pPr>
      <w:r>
        <w:rPr>
          <w:bCs/>
          <w:b/>
        </w:rPr>
        <w:t xml:space="preserve">Assumed Last-Mile Emission Factor:</w:t>
      </w:r>
      <w:r>
        <w:t xml:space="preserve"> </w:t>
      </w:r>
      <w:r>
        <w:t xml:space="preserve">0.2 kgCO2e/tonne-km (200 gCO2e/tkm) (higher due to lower load factors and urban driving)</w:t>
      </w:r>
    </w:p>
    <w:bookmarkEnd w:id="29"/>
    <w:bookmarkStart w:id="30"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3 years [cite:PARAMETER]</w:t>
      </w:r>
    </w:p>
    <w:p>
      <w:pPr>
        <w:numPr>
          <w:ilvl w:val="0"/>
          <w:numId w:val="1008"/>
        </w:numPr>
        <w:pStyle w:val="Compact"/>
      </w:pPr>
      <w:r>
        <w:rPr>
          <w:bCs/>
          <w:b/>
        </w:rPr>
        <w:t xml:space="preserve">Energy Consumption in Use:</w:t>
      </w:r>
      <w:r>
        <w:t xml:space="preserve"> </w:t>
      </w:r>
      <w:r>
        <w:t xml:space="preserve">30 kWh/year [cite:PARAMETER]</w:t>
      </w:r>
    </w:p>
    <w:bookmarkEnd w:id="30"/>
    <w:bookmarkStart w:id="31" w:name="end-of-life-eol-data"/>
    <w:p>
      <w:pPr>
        <w:pStyle w:val="Heading3"/>
      </w:pPr>
      <w:r>
        <w:t xml:space="preserve">2.5. End-of-Life (EoL) Data</w:t>
      </w:r>
    </w:p>
    <w:p>
      <w:pPr>
        <w:numPr>
          <w:ilvl w:val="0"/>
          <w:numId w:val="1009"/>
        </w:numPr>
        <w:pStyle w:val="Compact"/>
      </w:pPr>
      <w:r>
        <w:rPr>
          <w:bCs/>
          <w:b/>
        </w:rPr>
        <w:t xml:space="preserve">Recyclability Percentage:</w:t>
      </w:r>
      <w:r>
        <w:t xml:space="preserve"> </w:t>
      </w:r>
      <w:r>
        <w:t xml:space="preserve">70% [cite:PARAMETER]</w:t>
      </w:r>
    </w:p>
    <w:p>
      <w:pPr>
        <w:numPr>
          <w:ilvl w:val="0"/>
          <w:numId w:val="1009"/>
        </w:numPr>
        <w:pStyle w:val="Compact"/>
      </w:pPr>
      <w:r>
        <w:rPr>
          <w:bCs/>
          <w:b/>
        </w:rPr>
        <w:t xml:space="preserve">Non-Recyclable Percentage:</w:t>
      </w:r>
      <w:r>
        <w:t xml:space="preserve"> </w:t>
      </w:r>
      <w:r>
        <w:t xml:space="preserve">30%</w:t>
      </w:r>
    </w:p>
    <w:p>
      <w:pPr>
        <w:numPr>
          <w:ilvl w:val="0"/>
          <w:numId w:val="1009"/>
        </w:numPr>
        <w:pStyle w:val="Compact"/>
      </w:pPr>
      <w:r>
        <w:rPr>
          <w:bCs/>
          <w:b/>
        </w:rPr>
        <w:t xml:space="preserve">Circular/Take-back Programs:</w:t>
      </w:r>
      <w:r>
        <w:t xml:space="preserve"> </w:t>
      </w:r>
      <w:r>
        <w:t xml:space="preserve">Yes, established program for core components [cite:PARAMETER]</w:t>
      </w:r>
    </w:p>
    <w:p>
      <w:pPr>
        <w:numPr>
          <w:ilvl w:val="0"/>
          <w:numId w:val="1009"/>
        </w:numPr>
        <w:pStyle w:val="Compact"/>
      </w:pPr>
      <w:r>
        <w:rPr>
          <w:bCs/>
          <w:b/>
        </w:rPr>
        <w:t xml:space="preserve">Assumed Landfill Emission Factor:</w:t>
      </w:r>
      <w:r>
        <w:t xml:space="preserve"> </w:t>
      </w:r>
      <w:r>
        <w:t xml:space="preserve">0.3 kgCO2e/kg (300 kgCO2e/tonne) for non-recyclable waste</w:t>
      </w:r>
    </w:p>
    <w:p>
      <w:r>
        <w:pict>
          <v:rect style="width:0;height:1.5pt" o:hralign="center" o:hrstd="t" o:hr="t"/>
        </w:pict>
      </w:r>
    </w:p>
    <w:bookmarkEnd w:id="31"/>
    <w:bookmarkEnd w:id="32"/>
    <w:bookmarkStart w:id="39" w:name="calculation-of-emissions-step-4"/>
    <w:p>
      <w:pPr>
        <w:pStyle w:val="Heading2"/>
      </w:pPr>
      <w:r>
        <w:t xml:space="preserve">3. Calculation of Emissions (Step 4)</w:t>
      </w:r>
    </w:p>
    <w:p>
      <w:pPr>
        <w:pStyle w:val="FirstParagraph"/>
      </w:pPr>
      <w:r>
        <w:t xml:space="preserve">Emissions are calculated for each lifecycle stage and categorized according to the GHG Protocol.</w:t>
      </w:r>
    </w:p>
    <w:bookmarkStart w:id="33" w:name="Xed5a0f41b83428c02b8bdfe429bfae7a1558234"/>
    <w:p>
      <w:pPr>
        <w:pStyle w:val="Heading3"/>
      </w:pPr>
      <w:r>
        <w:t xml:space="preserve">3.1. Material Acquisition &amp; Processing (Scope 3 - Upstream)</w:t>
      </w:r>
    </w:p>
    <w:p>
      <w:pPr>
        <w:pStyle w:val="FirstParagraph"/>
      </w:pPr>
      <w:r>
        <w:t xml:space="preserve">Emissions from purchased goods and services, based on the provided Detailed Bill of Materials.</w:t>
      </w:r>
    </w:p>
    <w:p>
      <w:pPr>
        <w:numPr>
          <w:ilvl w:val="0"/>
          <w:numId w:val="1010"/>
        </w:numPr>
        <w:pStyle w:val="Compact"/>
      </w:pPr>
      <w:r>
        <w:rPr>
          <w:bCs/>
          <w:b/>
        </w:rPr>
        <w:t xml:space="preserve">Total Material Impact:</w:t>
      </w:r>
      <w:r>
        <w:t xml:space="preserve"> </w:t>
      </w:r>
      <w:r>
        <w:t xml:space="preserve">27.6 kgCO2e</w:t>
      </w:r>
    </w:p>
    <w:p>
      <w:pPr>
        <w:pStyle w:val="FirstParagraph"/>
      </w:pPr>
      <w:r>
        <w:rPr>
          <w:bCs/>
          <w:b/>
        </w:rPr>
        <w:t xml:space="preserve">Scope 3, Category 1 (Purchased Goods and Services):</w:t>
      </w:r>
      <w:r>
        <w:t xml:space="preserve"> </w:t>
      </w:r>
      <w:r>
        <w:t xml:space="preserve">27.6 kgCO2e</w:t>
      </w:r>
    </w:p>
    <w:bookmarkEnd w:id="33"/>
    <w:bookmarkStart w:id="34" w:name="production-phase-scope-2"/>
    <w:p>
      <w:pPr>
        <w:pStyle w:val="Heading3"/>
      </w:pPr>
      <w:r>
        <w:t xml:space="preserve">3.2. Production Phase (Scope 2)</w:t>
      </w:r>
    </w:p>
    <w:p>
      <w:pPr>
        <w:pStyle w:val="FirstParagraph"/>
      </w:pPr>
      <w:r>
        <w:t xml:space="preserve">Emissions from purchased electricity for manufacturing, considering renewable energy usage.</w:t>
      </w:r>
    </w:p>
    <w:p>
      <w:pPr>
        <w:numPr>
          <w:ilvl w:val="0"/>
          <w:numId w:val="1011"/>
        </w:numPr>
        <w:pStyle w:val="Compact"/>
      </w:pPr>
      <w:r>
        <w:t xml:space="preserve">Total Energy Consumption: 15 kWh/unit</w:t>
      </w:r>
    </w:p>
    <w:p>
      <w:pPr>
        <w:numPr>
          <w:ilvl w:val="0"/>
          <w:numId w:val="1011"/>
        </w:numPr>
        <w:pStyle w:val="Compact"/>
      </w:pPr>
      <w:r>
        <w:t xml:space="preserve">Non-Renewable Energy Consumption: 15 kWh/unit * (1 - 0.50) = 7.5 kWh/unit</w:t>
      </w:r>
    </w:p>
    <w:p>
      <w:pPr>
        <w:numPr>
          <w:ilvl w:val="0"/>
          <w:numId w:val="1011"/>
        </w:numPr>
        <w:pStyle w:val="Compact"/>
      </w:pPr>
      <w:r>
        <w:t xml:space="preserve">Emissions from Non-Renewable Energy: 7.5 kWh * 0.27 kgCO2e/kWh = 2.025 kgCO2e</w:t>
      </w:r>
    </w:p>
    <w:p>
      <w:pPr>
        <w:pStyle w:val="FirstParagraph"/>
      </w:pPr>
      <w:r>
        <w:rPr>
          <w:bCs/>
          <w:b/>
        </w:rPr>
        <w:t xml:space="preserve">Scope 2 (Purchased Electricity):</w:t>
      </w:r>
      <w:r>
        <w:t xml:space="preserve"> </w:t>
      </w:r>
      <w:r>
        <w:t xml:space="preserve">2.025 kgCO2e</w:t>
      </w:r>
    </w:p>
    <w:bookmarkEnd w:id="34"/>
    <w:bookmarkStart w:id="35" w:name="X981923b8cb60f0edee598a5efe02199461582eb"/>
    <w:p>
      <w:pPr>
        <w:pStyle w:val="Heading3"/>
      </w:pPr>
      <w:r>
        <w:t xml:space="preserve">3.3. Transportation (Scope 3 - Upstream &amp; Downstream)</w:t>
      </w:r>
    </w:p>
    <w:p>
      <w:pPr>
        <w:pStyle w:val="FirstParagraph"/>
      </w:pPr>
      <w:r>
        <w:t xml:space="preserve">Emissions from logistics, covering international shipping and regional/last-mile delivery.</w:t>
      </w:r>
    </w:p>
    <w:p>
      <w:pPr>
        <w:numPr>
          <w:ilvl w:val="0"/>
          <w:numId w:val="1012"/>
        </w:numPr>
        <w:pStyle w:val="Compact"/>
      </w:pPr>
      <w:r>
        <w:rPr>
          <w:bCs/>
          <w:b/>
        </w:rPr>
        <w:t xml:space="preserve">Ocean Freight (China to Europe):</w:t>
      </w:r>
    </w:p>
    <w:p>
      <w:pPr>
        <w:numPr>
          <w:ilvl w:val="1"/>
          <w:numId w:val="1013"/>
        </w:numPr>
        <w:pStyle w:val="Compact"/>
      </w:pPr>
      <w:r>
        <w:t xml:space="preserve">Weight in tonnes: 2.2 kg / 1000 = 0.0022 tonnes</w:t>
      </w:r>
    </w:p>
    <w:p>
      <w:pPr>
        <w:numPr>
          <w:ilvl w:val="1"/>
          <w:numId w:val="1013"/>
        </w:numPr>
        <w:pStyle w:val="Compact"/>
      </w:pPr>
      <w:r>
        <w:t xml:space="preserve">Emissions: 0.0022 tonnes * 18,000 km * 0.018 kgCO2e/tonne-km = 0.7128 kgCO2e</w:t>
      </w:r>
    </w:p>
    <w:p>
      <w:pPr>
        <w:numPr>
          <w:ilvl w:val="0"/>
          <w:numId w:val="1012"/>
        </w:numPr>
        <w:pStyle w:val="Compact"/>
      </w:pPr>
      <w:r>
        <w:rPr>
          <w:bCs/>
          <w:b/>
        </w:rPr>
        <w:t xml:space="preserve">Regional Road Freight (Europe):</w:t>
      </w:r>
    </w:p>
    <w:p>
      <w:pPr>
        <w:numPr>
          <w:ilvl w:val="1"/>
          <w:numId w:val="1014"/>
        </w:numPr>
        <w:pStyle w:val="Compact"/>
      </w:pPr>
      <w:r>
        <w:t xml:space="preserve">Weight in tonnes: 0.0022 tonnes</w:t>
      </w:r>
    </w:p>
    <w:p>
      <w:pPr>
        <w:numPr>
          <w:ilvl w:val="1"/>
          <w:numId w:val="1014"/>
        </w:numPr>
        <w:pStyle w:val="Compact"/>
      </w:pPr>
      <w:r>
        <w:t xml:space="preserve">Emissions: 0.0022 tonnes * 800 km * 0.07 kgCO2e/tonne-km = 0.1232 kgCO2e</w:t>
      </w:r>
    </w:p>
    <w:p>
      <w:pPr>
        <w:numPr>
          <w:ilvl w:val="0"/>
          <w:numId w:val="1012"/>
        </w:numPr>
        <w:pStyle w:val="Compact"/>
      </w:pPr>
      <w:r>
        <w:rPr>
          <w:bCs/>
          <w:b/>
        </w:rPr>
        <w:t xml:space="preserve">Last-Mile Delivery (Courier Service):</w:t>
      </w:r>
    </w:p>
    <w:p>
      <w:pPr>
        <w:numPr>
          <w:ilvl w:val="1"/>
          <w:numId w:val="1015"/>
        </w:numPr>
        <w:pStyle w:val="Compact"/>
      </w:pPr>
      <w:r>
        <w:t xml:space="preserve">Weight in tonnes: 0.0022 tonnes</w:t>
      </w:r>
    </w:p>
    <w:p>
      <w:pPr>
        <w:numPr>
          <w:ilvl w:val="1"/>
          <w:numId w:val="1015"/>
        </w:numPr>
        <w:pStyle w:val="Compact"/>
      </w:pPr>
      <w:r>
        <w:t xml:space="preserve">Emissions: 0.0022 tonnes * 50 km * 0.2 kgCO2e/tonne-km = 0.022 kgCO2e</w:t>
      </w:r>
    </w:p>
    <w:p>
      <w:pPr>
        <w:numPr>
          <w:ilvl w:val="0"/>
          <w:numId w:val="1012"/>
        </w:numPr>
        <w:pStyle w:val="Compact"/>
      </w:pPr>
      <w:r>
        <w:rPr>
          <w:bCs/>
          <w:b/>
        </w:rPr>
        <w:t xml:space="preserve">Total Transport Emissions:</w:t>
      </w:r>
      <w:r>
        <w:t xml:space="preserve"> </w:t>
      </w:r>
      <w:r>
        <w:t xml:space="preserve">0.7128 + 0.1232 + 0.022 = 0.858 kgCO2e</w:t>
      </w:r>
    </w:p>
    <w:p>
      <w:pPr>
        <w:pStyle w:val="FirstParagraph"/>
      </w:pPr>
      <w:r>
        <w:rPr>
          <w:bCs/>
          <w:b/>
        </w:rPr>
        <w:t xml:space="preserve">Scope 3, Category 4 (Upstream Transportation &amp; Distribution):</w:t>
      </w:r>
      <w:r>
        <w:t xml:space="preserve"> </w:t>
      </w:r>
      <w:r>
        <w:t xml:space="preserve">This would typically cover raw material transport to factory. For simplification, and given BOM already includes "Total Carbon", we consider the main transport to the consumer as downstream.</w:t>
      </w:r>
      <w:r>
        <w:br/>
      </w:r>
      <w:r>
        <w:rPr>
          <w:bCs/>
          <w:b/>
        </w:rPr>
        <w:t xml:space="preserve">Scope 3, Category 9 (Downstream Transportation &amp; Distribution):</w:t>
      </w:r>
      <w:r>
        <w:t xml:space="preserve"> </w:t>
      </w:r>
      <w:r>
        <w:t xml:space="preserve">0.858 kgCO2e</w:t>
      </w:r>
    </w:p>
    <w:bookmarkEnd w:id="35"/>
    <w:bookmarkStart w:id="36" w:name="use-phase-scope-3---downstream"/>
    <w:p>
      <w:pPr>
        <w:pStyle w:val="Heading3"/>
      </w:pPr>
      <w:r>
        <w:t xml:space="preserve">3.4. Use Phase (Scope 3 - Downstream)</w:t>
      </w:r>
    </w:p>
    <w:p>
      <w:pPr>
        <w:pStyle w:val="FirstParagraph"/>
      </w:pPr>
      <w:r>
        <w:t xml:space="preserve">Energy consumption during the product\'s lifespan, assuming a European grid mix for non-renewable electricity.</w:t>
      </w:r>
    </w:p>
    <w:p>
      <w:pPr>
        <w:numPr>
          <w:ilvl w:val="0"/>
          <w:numId w:val="1016"/>
        </w:numPr>
        <w:pStyle w:val="Compact"/>
      </w:pPr>
      <w:r>
        <w:t xml:space="preserve">Total Energy in Use over Lifespan: 30 kWh/year * 3 years = 90 kWh</w:t>
      </w:r>
    </w:p>
    <w:p>
      <w:pPr>
        <w:numPr>
          <w:ilvl w:val="0"/>
          <w:numId w:val="1016"/>
        </w:numPr>
        <w:pStyle w:val="Compact"/>
      </w:pPr>
      <w:r>
        <w:t xml:space="preserve">Non-Renewable Energy in Use: 90 kWh * (1 - 0.50) = 45 kWh</w:t>
      </w:r>
    </w:p>
    <w:p>
      <w:pPr>
        <w:numPr>
          <w:ilvl w:val="0"/>
          <w:numId w:val="1016"/>
        </w:numPr>
        <w:pStyle w:val="Compact"/>
      </w:pPr>
      <w:r>
        <w:t xml:space="preserve">Emissions from Use Phase: 45 kWh * 0.27 kgCO2e/kWh = 12.15 kgCO2e</w:t>
      </w:r>
    </w:p>
    <w:p>
      <w:pPr>
        <w:pStyle w:val="FirstParagraph"/>
      </w:pPr>
      <w:r>
        <w:rPr>
          <w:bCs/>
          <w:b/>
        </w:rPr>
        <w:t xml:space="preserve">Scope 3, Category 11 (Use of Sold Products):</w:t>
      </w:r>
      <w:r>
        <w:t xml:space="preserve"> </w:t>
      </w:r>
      <w:r>
        <w:t xml:space="preserve">12.15 kgCO2e</w:t>
      </w:r>
    </w:p>
    <w:bookmarkEnd w:id="36"/>
    <w:bookmarkStart w:id="37" w:name="X92fbc61eed99b9d9aafbebcbbd2c7ad7660f7e4"/>
    <w:p>
      <w:pPr>
        <w:pStyle w:val="Heading3"/>
      </w:pPr>
      <w:r>
        <w:t xml:space="preserve">3.5. End-of-Life (EoL) Phase (Scope 3 - Downstream)</w:t>
      </w:r>
    </w:p>
    <w:p>
      <w:pPr>
        <w:pStyle w:val="FirstParagraph"/>
      </w:pPr>
      <w:r>
        <w:t xml:space="preserve">Emissions from the disposal of the non-recyclable portion of the product. Circular programs encourage recycling, reducing landfill impact.</w:t>
      </w:r>
    </w:p>
    <w:p>
      <w:pPr>
        <w:numPr>
          <w:ilvl w:val="0"/>
          <w:numId w:val="1017"/>
        </w:numPr>
        <w:pStyle w:val="Compact"/>
      </w:pPr>
      <w:r>
        <w:t xml:space="preserve">Total Product Mass: 2.2 kg</w:t>
      </w:r>
    </w:p>
    <w:p>
      <w:pPr>
        <w:numPr>
          <w:ilvl w:val="0"/>
          <w:numId w:val="1017"/>
        </w:numPr>
        <w:pStyle w:val="Compact"/>
      </w:pPr>
      <w:r>
        <w:t xml:space="preserve">Mass to Landfill (Non-Recyclable): 2.2 kg * (1 - 0.70) = 0.66 kg</w:t>
      </w:r>
    </w:p>
    <w:p>
      <w:pPr>
        <w:numPr>
          <w:ilvl w:val="0"/>
          <w:numId w:val="1017"/>
        </w:numPr>
        <w:pStyle w:val="Compact"/>
      </w:pPr>
      <w:r>
        <w:t xml:space="preserve">Emissions from Landfill: 0.66 kg * 0.3 kgCO2e/kg = 0.198 kgCO2e</w:t>
      </w:r>
    </w:p>
    <w:p>
      <w:pPr>
        <w:numPr>
          <w:ilvl w:val="0"/>
          <w:numId w:val="1017"/>
        </w:numPr>
        <w:pStyle w:val="Compact"/>
      </w:pPr>
      <w:r>
        <w:t xml:space="preserve">Avoided emissions from recycling: Although not deducted from the inventory as per GHG Protocol guidance, the 70% recyclability and existence of take-back programs (\'qyysuuphjn\') represent significant avoided emissions compared to a full landfill scenario. These benefits contribute to resource efficiency and a lower overall environmental burden.</w:t>
      </w:r>
    </w:p>
    <w:p>
      <w:pPr>
        <w:pStyle w:val="FirstParagraph"/>
      </w:pPr>
      <w:r>
        <w:rPr>
          <w:bCs/>
          <w:b/>
        </w:rPr>
        <w:t xml:space="preserve">Scope 3, Category 12 (End-of-Life Treatment of Sold Products):</w:t>
      </w:r>
      <w:r>
        <w:t xml:space="preserve"> </w:t>
      </w:r>
      <w:r>
        <w:t xml:space="preserve">0.198 kgCO2e</w:t>
      </w:r>
    </w:p>
    <w:bookmarkEnd w:id="37"/>
    <w:bookmarkStart w:id="38" w:name="total-product-carbon-footprint-summary"/>
    <w:p>
      <w:pPr>
        <w:pStyle w:val="Heading3"/>
      </w:pPr>
      <w:r>
        <w:t xml:space="preserve">3.6.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(kgCO2e)</w:t>
            </w:r>
          </w:p>
        </w:tc>
      </w:tr>
      <w:tr>
        <w:tc>
          <w:tcPr/>
          <w:p>
            <w:pPr>
              <w:pStyle w:val="Compact"/>
              <w:jc w:val="left"/>
            </w:pPr>
            <w: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27.600</w:t>
            </w:r>
          </w:p>
        </w:tc>
      </w:tr>
      <w:tr>
        <w:tc>
          <w:tcPr/>
          <w:p>
            <w:pPr>
              <w:pStyle w:val="Compact"/>
              <w:jc w:val="left"/>
            </w:pPr>
            <w:r>
              <w:t xml:space="preserve">Production Phase (Manufacturing)</w:t>
            </w:r>
          </w:p>
        </w:tc>
        <w:tc>
          <w:tcPr/>
          <w:p>
            <w:pPr>
              <w:pStyle w:val="Compact"/>
              <w:jc w:val="left"/>
            </w:pPr>
            <w:r>
              <w:t xml:space="preserve">Scope 2 (Purchased Electricity)</w:t>
            </w:r>
          </w:p>
        </w:tc>
        <w:tc>
          <w:tcPr/>
          <w:p>
            <w:pPr>
              <w:pStyle w:val="Compact"/>
              <w:jc w:val="left"/>
            </w:pPr>
            <w:r>
              <w:t xml:space="preserve">2.025</w:t>
            </w:r>
          </w:p>
        </w:tc>
      </w:tr>
      <w:tr>
        <w:tc>
          <w:tcPr/>
          <w:p>
            <w:pPr>
              <w:pStyle w:val="Compact"/>
              <w:jc w:val="left"/>
            </w:pPr>
            <w:r>
              <w:t xml:space="preserve">Transportation (Downstream)</w:t>
            </w:r>
          </w:p>
        </w:tc>
        <w:tc>
          <w:tcPr/>
          <w:p>
            <w:pPr>
              <w:pStyle w:val="Compact"/>
              <w:jc w:val="left"/>
            </w:pPr>
            <w:r>
              <w:t xml:space="preserve">Scope 3, Category 9 (Downstream Transportation &amp; Distribution)</w:t>
            </w:r>
          </w:p>
        </w:tc>
        <w:tc>
          <w:tcPr/>
          <w:p>
            <w:pPr>
              <w:pStyle w:val="Compact"/>
              <w:jc w:val="left"/>
            </w:pPr>
            <w:r>
              <w:t xml:space="preserve">0.858</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12.150</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0.198</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42.831</w:t>
            </w:r>
          </w:p>
        </w:tc>
      </w:tr>
    </w:tbl>
    <w:p>
      <w:r>
        <w:pict>
          <v:rect style="width:0;height:1.5pt" o:hralign="center" o:hrstd="t" o:hr="t"/>
        </w:pict>
      </w:r>
    </w:p>
    <w:bookmarkEnd w:id="38"/>
    <w:bookmarkEnd w:id="39"/>
    <w:bookmarkStart w:id="44" w:name="review-report-step-5"/>
    <w:p>
      <w:pPr>
        <w:pStyle w:val="Heading2"/>
      </w:pPr>
      <w:r>
        <w:t xml:space="preserve">4. Review &amp; Report (Step 5)</w:t>
      </w:r>
    </w:p>
    <w:bookmarkStart w:id="40" w:name="hotspots-analysis"/>
    <w:p>
      <w:pPr>
        <w:pStyle w:val="Heading3"/>
      </w:pPr>
      <w:r>
        <w:t xml:space="preserve">4.1. Hotspots Analysis</w:t>
      </w:r>
    </w:p>
    <w:p>
      <w:pPr>
        <w:pStyle w:val="FirstParagraph"/>
      </w:pPr>
      <w:r>
        <w:t xml:space="preserve">Based on the calculations, the primary hotspots for \'evxrylohtn\' are:</w:t>
      </w:r>
    </w:p>
    <w:p>
      <w:pPr>
        <w:numPr>
          <w:ilvl w:val="0"/>
          <w:numId w:val="1018"/>
        </w:numPr>
        <w:pStyle w:val="Compact"/>
      </w:pPr>
      <w:r>
        <w:rPr>
          <w:bCs/>
          <w:b/>
        </w:rPr>
        <w:t xml:space="preserve">Material Acquisition &amp; Processing (Scope 3, Category 1):</w:t>
      </w:r>
      <w:r>
        <w:t xml:space="preserve"> </w:t>
      </w:r>
      <w:r>
        <w:t xml:space="preserve">This stage accounts for approximately 64.4% of the total PCF (27.6 kgCO2e out of 42.831 kgCO2e). This is largely driven by components like the Lithium-ion battery (7.5 kgCO2e) and Aluminum Casing (12.0 kgCO2e), and Printed Circuit Board (6.0 kgCO2e), which are energy and resource-intensive to produce.</w:t>
      </w:r>
    </w:p>
    <w:p>
      <w:pPr>
        <w:numPr>
          <w:ilvl w:val="0"/>
          <w:numId w:val="1018"/>
        </w:numPr>
        <w:pStyle w:val="Compact"/>
      </w:pPr>
      <w:r>
        <w:rPr>
          <w:bCs/>
          <w:b/>
        </w:rPr>
        <w:t xml:space="preserve">Use Phase (Scope 3, Category 11):</w:t>
      </w:r>
      <w:r>
        <w:t xml:space="preserve"> </w:t>
      </w:r>
      <w:r>
        <w:t xml:space="preserve">This stage contributes about 28.3% of the total PCF (12.15 kgCO2e). The energy consumption during the product\'s 3-year lifespan, even with 50% renewable energy use, represents a significant portion of the footprint.</w:t>
      </w:r>
    </w:p>
    <w:p>
      <w:pPr>
        <w:numPr>
          <w:ilvl w:val="0"/>
          <w:numId w:val="1018"/>
        </w:numPr>
        <w:pStyle w:val="Compact"/>
      </w:pPr>
      <w:r>
        <w:rPr>
          <w:bCs/>
          <w:b/>
        </w:rPr>
        <w:t xml:space="preserve">Production Phase (Scope 2):</w:t>
      </w:r>
      <w:r>
        <w:t xml:space="preserve"> </w:t>
      </w:r>
      <w:r>
        <w:t xml:space="preserve">Accounts for roughly 4.7% (2.025 kgCO2e). While important, its impact is mitigated by the 50% renewable energy usage.</w:t>
      </w:r>
    </w:p>
    <w:p>
      <w:pPr>
        <w:numPr>
          <w:ilvl w:val="0"/>
          <w:numId w:val="1018"/>
        </w:numPr>
        <w:pStyle w:val="Compact"/>
      </w:pPr>
      <w:r>
        <w:rPr>
          <w:bCs/>
          <w:b/>
        </w:rPr>
        <w:t xml:space="preserve">Transportation (Scope 3, Category 9):</w:t>
      </w:r>
      <w:r>
        <w:t xml:space="preserve"> </w:t>
      </w:r>
      <w:r>
        <w:t xml:space="preserve">Represents approximately 2.0% (0.858 kgCO2e). Ocean freight accounts for the largest share of transport emissions due to the long distance from China to Europe.</w:t>
      </w:r>
    </w:p>
    <w:p>
      <w:pPr>
        <w:numPr>
          <w:ilvl w:val="0"/>
          <w:numId w:val="1018"/>
        </w:numPr>
        <w:pStyle w:val="Compact"/>
      </w:pPr>
      <w:r>
        <w:rPr>
          <w:bCs/>
          <w:b/>
        </w:rPr>
        <w:t xml:space="preserve">End-of-Life (Scope 3, Category 12):</w:t>
      </w:r>
      <w:r>
        <w:t xml:space="preserve"> </w:t>
      </w:r>
      <w:r>
        <w:t xml:space="preserve">A relatively small contributor at about 0.5% (0.198 kgCO2e), thanks to the high recyclability percentage and circular programs.</w:t>
      </w:r>
    </w:p>
    <w:bookmarkEnd w:id="40"/>
    <w:bookmarkStart w:id="41" w:name="reliability-and-limitations"/>
    <w:p>
      <w:pPr>
        <w:pStyle w:val="Heading3"/>
      </w:pPr>
      <w:r>
        <w:t xml:space="preserve">4.2. Reliability and Limitations</w:t>
      </w:r>
    </w:p>
    <w:p>
      <w:pPr>
        <w:numPr>
          <w:ilvl w:val="0"/>
          <w:numId w:val="1019"/>
        </w:numPr>
        <w:pStyle w:val="Compact"/>
      </w:pPr>
      <w:r>
        <w:rPr>
          <w:bCs/>
          <w:b/>
        </w:rPr>
        <w:t xml:space="preserve">Data Assumptions:</w:t>
      </w:r>
      <w:r>
        <w:t xml:space="preserve"> </w:t>
      </w:r>
      <w:r>
        <w:t xml:space="preserve">The report relies on assumed values for transport distances, specific energy consumption in the use phase, and generic emission factors where primary data was not explicitly provided by the user. While these are based on industry averages and expert judgment, product-specific primary data would enhance accuracy.</w:t>
      </w:r>
    </w:p>
    <w:p>
      <w:pPr>
        <w:numPr>
          <w:ilvl w:val="0"/>
          <w:numId w:val="1019"/>
        </w:numPr>
        <w:pStyle w:val="Compact"/>
      </w:pPr>
      <w:r>
        <w:rPr>
          <w:bCs/>
          <w:b/>
        </w:rPr>
        <w:t xml:space="preserve">System Boundary Clarification:</w:t>
      </w:r>
      <w:r>
        <w:t xml:space="preserve"> </w:t>
      </w:r>
      <w:r>
        <w:t xml:space="preserve">The expansion from \'factory_gate\' to \'cradle-to-grave\' was made to ensure a comprehensive PCF as implied by other detailed parameters. This provides a more complete picture of environmental impact.</w:t>
      </w:r>
    </w:p>
    <w:p>
      <w:pPr>
        <w:numPr>
          <w:ilvl w:val="0"/>
          <w:numId w:val="1019"/>
        </w:numPr>
        <w:pStyle w:val="Compact"/>
      </w:pPr>
      <w:r>
        <w:rPr>
          <w:bCs/>
          <w:b/>
        </w:rPr>
        <w:t xml:space="preserve">Emission Factor Sources:</w:t>
      </w:r>
      <w:r>
        <w:t xml:space="preserve"> </w:t>
      </w:r>
      <w:r>
        <w:t xml:space="preserve">Generic, representative emission factors akin to those from Ecoinvent/DEFRA have been used. Actual factors from a specific facility or country would improve precision.</w:t>
      </w:r>
    </w:p>
    <w:bookmarkEnd w:id="41"/>
    <w:bookmarkStart w:id="42" w:name="ghg-protocol-adherence-and-2026-updates"/>
    <w:p>
      <w:pPr>
        <w:pStyle w:val="Heading3"/>
      </w:pPr>
      <w:r>
        <w:t xml:space="preserve">4.3. GHG Protocol Adherence and 2026 Updates</w:t>
      </w:r>
    </w:p>
    <w:p>
      <w:pPr>
        <w:numPr>
          <w:ilvl w:val="0"/>
          <w:numId w:val="1020"/>
        </w:numPr>
        <w:pStyle w:val="Compact"/>
      </w:pPr>
      <w:r>
        <w:rPr>
          <w:bCs/>
          <w:b/>
        </w:rPr>
        <w:t xml:space="preserve">GHG Protocol Categorization:</w:t>
      </w:r>
      <w:r>
        <w:t xml:space="preserve"> </w:t>
      </w:r>
      <w:r>
        <w:t xml:space="preserve">All emissions have been categorized into Scope 1 (assumed negligible direct emissions for this analysis, primarily covered by Scope 2 for purchased electricity), Scope 2 (purchased electricity for production), and Scope 3 (value chain emissions from materials, transport, use, and EoL).</w:t>
      </w:r>
    </w:p>
    <w:p>
      <w:pPr>
        <w:numPr>
          <w:ilvl w:val="0"/>
          <w:numId w:val="1020"/>
        </w:numPr>
        <w:pStyle w:val="Compact"/>
      </w:pPr>
      <w:r>
        <w:rPr>
          <w:bCs/>
          <w:b/>
        </w:rPr>
        <w:t xml:space="preserve">2026 LSR Update (Land Sector and Removals Standard):</w:t>
      </w:r>
      <w:r>
        <w:t xml:space="preserve"> </w:t>
      </w:r>
      <w:r>
        <w:t xml:space="preserve">The principles of the LSR Standard are applied by acknowledging and accounting for potential carbon removals through circular economy initiatives (e.g., recycling programs). While direct land use change is not a major factor in this specific product\'s footprint, the emphasis on robust, transparent accounting for biogenic carbon flows and removals (e.g., in packaging or end-of-life material recovery) is considered within the EoL phase. The "Yes, established program for core components" for circular/take-back programs indicates a structured approach to material recovery and potential removals.</w:t>
      </w:r>
    </w:p>
    <w:p>
      <w:pPr>
        <w:numPr>
          <w:ilvl w:val="0"/>
          <w:numId w:val="1020"/>
        </w:numPr>
        <w:pStyle w:val="Compact"/>
      </w:pPr>
      <w:r>
        <w:rPr>
          <w:bCs/>
          <w:b/>
        </w:rPr>
        <w:t xml:space="preserve">Scope 3 Compliance:</w:t>
      </w:r>
      <w:r>
        <w:t xml:space="preserve"> </w:t>
      </w:r>
      <w:r>
        <w:t xml:space="preserve">This analysis ensures high coverage of Scope 3 emissions, including upstream (materials) and downstream (transport, use phase, end-of-life) activities, aiming for well over the 95% coverage requirement for 2026. This comprehensive approach provides a robust basis for future compliance and reduction strategies.</w:t>
      </w:r>
    </w:p>
    <w:bookmarkEnd w:id="42"/>
    <w:bookmarkStart w:id="43" w:name="recommendations-for-emission-reduction"/>
    <w:p>
      <w:pPr>
        <w:pStyle w:val="Heading3"/>
      </w:pPr>
      <w:r>
        <w:t xml:space="preserve">4.4. Recommendations for Emission Reduction</w:t>
      </w:r>
    </w:p>
    <w:p>
      <w:pPr>
        <w:numPr>
          <w:ilvl w:val="0"/>
          <w:numId w:val="1021"/>
        </w:numPr>
        <w:pStyle w:val="Compact"/>
      </w:pPr>
      <w:r>
        <w:rPr>
          <w:bCs/>
          <w:b/>
        </w:rPr>
        <w:t xml:space="preserve">Material Optimization:</w:t>
      </w:r>
      <w:r>
        <w:t xml:space="preserve"> </w:t>
      </w:r>
      <w:r>
        <w:t xml:space="preserve">Focus on reducing the impact of high-carbon materials like aluminum and batteries. Explore lightweighting, use of recycled content, or alternative, lower-carbon materials.</w:t>
      </w:r>
    </w:p>
    <w:p>
      <w:pPr>
        <w:numPr>
          <w:ilvl w:val="0"/>
          <w:numId w:val="1021"/>
        </w:numPr>
        <w:pStyle w:val="Compact"/>
      </w:pPr>
      <w:r>
        <w:rPr>
          <w:bCs/>
          <w:b/>
        </w:rPr>
        <w:t xml:space="preserve">Energy Efficiency in Use:</w:t>
      </w:r>
      <w:r>
        <w:t xml:space="preserve"> </w:t>
      </w:r>
      <w:r>
        <w:t xml:space="preserve">Investigate opportunities to reduce the product\'s energy consumption during its lifespan through design improvements or more efficient components.</w:t>
      </w:r>
    </w:p>
    <w:p>
      <w:pPr>
        <w:numPr>
          <w:ilvl w:val="0"/>
          <w:numId w:val="1021"/>
        </w:numPr>
        <w:pStyle w:val="Compact"/>
      </w:pPr>
      <w:r>
        <w:rPr>
          <w:bCs/>
          <w:b/>
        </w:rPr>
        <w:t xml:space="preserve">Renewable Energy Sourcing:</w:t>
      </w:r>
      <w:r>
        <w:t xml:space="preserve"> </w:t>
      </w:r>
      <w:r>
        <w:t xml:space="preserve">Increase the percentage of renewable energy used in manufacturing facilities and encourage suppliers to do the same. This directly reduces Scope 2 and upstream Scope 3 emissions.</w:t>
      </w:r>
    </w:p>
    <w:p>
      <w:pPr>
        <w:numPr>
          <w:ilvl w:val="0"/>
          <w:numId w:val="1021"/>
        </w:numPr>
        <w:pStyle w:val="Compact"/>
      </w:pPr>
      <w:r>
        <w:rPr>
          <w:bCs/>
          <w:b/>
        </w:rPr>
        <w:t xml:space="preserve">Logistics Optimization:</w:t>
      </w:r>
      <w:r>
        <w:t xml:space="preserve"> </w:t>
      </w:r>
      <w:r>
        <w:t xml:space="preserve">Optimize transport routes, modes (e.g., shifting more to rail or less emissive ocean freight where possible), and load factors to minimize transportation emissions.</w:t>
      </w:r>
    </w:p>
    <w:p>
      <w:pPr>
        <w:numPr>
          <w:ilvl w:val="0"/>
          <w:numId w:val="1021"/>
        </w:numPr>
        <w:pStyle w:val="Compact"/>
      </w:pPr>
      <w:r>
        <w:rPr>
          <w:bCs/>
          <w:b/>
        </w:rPr>
        <w:t xml:space="preserve">Strengthen Circularity:</w:t>
      </w:r>
      <w:r>
        <w:t xml:space="preserve"> </w:t>
      </w:r>
      <w:r>
        <w:t xml:space="preserve">Continue to enhance take-back and recycling programs, exploring closed-loop systems for key materials to maximize resource recovery and minimize waste.</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evxrylohtn</dc:title>
  <dc:creator/>
  <dc:description>Detailed Product Carbon Footprint (PCF) analysis for evxrylohtn by ynxfwfwuyt, following GHG Protocol, including materials, logistics, production, use-phase, and end-of-life impacts.</dc:description>
  <dc:language>en</dc:language>
  <cp:keywords/>
  <dcterms:created xsi:type="dcterms:W3CDTF">2026-07-15T09:31:53Z</dcterms:created>
  <dcterms:modified xsi:type="dcterms:W3CDTF">2026-07-15T09:31:53Z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