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eutmofnkft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eutmofnkft</w:t>
      </w:r>
    </w:p>
    <w:p>
      <w:pPr>
        <w:pStyle w:val="BodyText"/>
      </w:pPr>
      <w:r>
        <w:rPr>
          <w:bCs/>
          <w:b/>
        </w:rPr>
        <w:t xml:space="preserve">Company Name:</w:t>
      </w:r>
      <w:r>
        <w:t xml:space="preserve"> </w:t>
      </w:r>
      <w:r>
        <w:t xml:space="preserve">mozxxotsfg</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kwuqilsxpf</w:t>
      </w:r>
    </w:p>
    <w:p>
      <w:pPr>
        <w:pStyle w:val="BodyText"/>
      </w:pPr>
      <w:r>
        <w:t xml:space="preserve">Disclaimer: This report is generated based on available data and industry standards, including estimated emission factors where primary data was not available. While efforts have been made to ensure accuracy and adhere to the latest GHG Protocol guidance, the results represent an approximation of the product\'s carbon footprint.</w:t>
      </w:r>
    </w:p>
    <w:bookmarkEnd w:id="20"/>
    <w:bookmarkStart w:id="41" w:name="Xa8a1cf27be74346c2693aeea1d5f7350470ddc4"/>
    <w:p>
      <w:pPr>
        <w:pStyle w:val="Heading1"/>
      </w:pPr>
      <w:r>
        <w:t xml:space="preserve">Product Carbon Footprint Analysis Report: eutmofnkft</w:t>
      </w:r>
    </w:p>
    <w:p>
      <w:pPr>
        <w:pStyle w:val="FirstParagraph"/>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kwuqilsxpf</w:t>
      </w:r>
    </w:p>
    <w:p>
      <w:pPr>
        <w:pStyle w:val="BodyText"/>
      </w:pPr>
      <w:r>
        <w:rPr>
          <w:bCs/>
          <w:b/>
        </w:rPr>
        <w:t xml:space="preserve">Company Name:</w:t>
      </w:r>
      <w:r>
        <w:t xml:space="preserve"> </w:t>
      </w:r>
      <w:r>
        <w:t xml:space="preserve">mozxxotsfg</w:t>
      </w:r>
    </w:p>
    <w:p>
      <w:r>
        <w:pict>
          <v:rect style="width:0;height:1.5pt" o:hralign="center" o:hrstd="t" o:hr="t"/>
        </w:pict>
      </w:r>
    </w:p>
    <w:p>
      <w:pPr>
        <w:pStyle w:val="FirstParagraph"/>
      </w:pPr>
      <w:r>
        <w:t xml:space="preserve">Executive Summary</w:t>
      </w:r>
    </w:p>
    <w:p>
      <w:pPr>
        <w:pStyle w:val="BodyText"/>
      </w:pPr>
      <w:r>
        <w:t xml:space="preserve">This report presents a high-detail Product Carbon Footprint (PCF) analysis for the product "eutmofnkft" manufactured by mozxxotsfg. The assessment adheres strictly to the Greenhouse Gas (GHG) Protocol standards, incorporating the latest 2026 updates, including the Land Sector and Removals (LSR) Standard and the 95% coverage rule for Scope 3 emissions. The analysis covers the full lifecycle of eutmofnkft, from raw material acquisition to end-of-life treatment, providing a comprehensive understanding of its environmental impact in terms of CO2e emissions. The functional unit for this analysis is 1.0 unit of eutmofnkft.</w:t>
      </w:r>
    </w:p>
    <w:p>
      <w:pPr>
        <w:pStyle w:val="BodyText"/>
      </w:pPr>
      <w:r>
        <w:t xml:space="preserve">The total Product Carbon Footprint for one unit of eutmofnkft is determined to be</w:t>
      </w:r>
      <w:r>
        <w:t xml:space="preserve"> </w:t>
      </w:r>
      <w:r>
        <w:rPr>
          <w:bCs/>
          <w:b/>
        </w:rPr>
        <w:t xml:space="preserve">69.02 kgCO2e</w:t>
      </w:r>
      <w:r>
        <w:t xml:space="preserve">. The Use Phase of the product represents the most significant contributor to its overall footprint, highlighting key areas for potential emission reduction strategies.</w:t>
      </w:r>
    </w:p>
    <w:p>
      <w:pPr>
        <w:pStyle w:val="BodyText"/>
      </w:pPr>
      <w:r>
        <w:t xml:space="preserve">1. Define Scope</w:t>
      </w:r>
    </w:p>
    <w:bookmarkStart w:id="21"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 of eutmofnkft</w:t>
      </w:r>
      <w:r>
        <w:t xml:space="preserve">, delivering its intended service throughout its specified lifespan.</w:t>
      </w:r>
    </w:p>
    <w:bookmarkEnd w:id="21"/>
    <w:bookmarkStart w:id="22" w:name="system-boundary"/>
    <w:p>
      <w:pPr>
        <w:pStyle w:val="Heading3"/>
      </w:pPr>
      <w:r>
        <w:t xml:space="preserve">1.2 System Boundary</w:t>
      </w:r>
    </w:p>
    <w:p>
      <w:pPr>
        <w:pStyle w:val="FirstParagraph"/>
      </w:pPr>
      <w:r>
        <w:t xml:space="preserve">The system boundary for this PCF is defined as</w:t>
      </w:r>
      <w:r>
        <w:t xml:space="preserve"> </w:t>
      </w:r>
      <w:r>
        <w:rPr>
          <w:bCs/>
          <w:b/>
        </w:rPr>
        <w:t xml:space="preserve">"factory_gate"</w:t>
      </w:r>
      <w:r>
        <w:t xml:space="preserve">, extending to include downstream lifecycle stages such as transportation to the customer, the product\'s use phase, and its end-of-life treatment. This "cradle-to-grave" approach captures emissions across the entire value chain.</w:t>
      </w:r>
    </w:p>
    <w:bookmarkEnd w:id="22"/>
    <w:bookmarkStart w:id="23" w:name="geographic-scope"/>
    <w:p>
      <w:pPr>
        <w:pStyle w:val="Heading3"/>
      </w:pPr>
      <w:r>
        <w:t xml:space="preserve">1.3 Geographic Scope</w:t>
      </w:r>
    </w:p>
    <w:p>
      <w:pPr>
        <w:pStyle w:val="FirstParagraph"/>
      </w:pPr>
      <w:r>
        <w:t xml:space="preserve">The final production country for eutmofnkft is</w:t>
      </w:r>
      <w:r>
        <w:t xml:space="preserve"> </w:t>
      </w:r>
      <w:r>
        <w:rPr>
          <w:bCs/>
          <w:b/>
        </w:rPr>
        <w:t xml:space="preserve">China</w:t>
      </w:r>
      <w:r>
        <w:t xml:space="preserve">. The supply chain focus is primarily</w:t>
      </w:r>
      <w:r>
        <w:t xml:space="preserve"> </w:t>
      </w:r>
      <w:r>
        <w:rPr>
          <w:bCs/>
          <w:b/>
        </w:rPr>
        <w:t xml:space="preserve">Europe Focused</w:t>
      </w:r>
      <w:r>
        <w:t xml:space="preserve"> </w:t>
      </w:r>
      <w:r>
        <w:t xml:space="preserve">for distribution and use, impacting electricity grid mix assumptions for these phases.</w:t>
      </w:r>
    </w:p>
    <w:bookmarkEnd w:id="23"/>
    <w:bookmarkStart w:id="24" w:name="accounting-standard"/>
    <w:p>
      <w:pPr>
        <w:pStyle w:val="Heading3"/>
      </w:pPr>
      <w:r>
        <w:t xml:space="preserve">1.4 Accounting Standard</w:t>
      </w:r>
    </w:p>
    <w:p>
      <w:pPr>
        <w:pStyle w:val="FirstParagraph"/>
      </w:pPr>
      <w:r>
        <w:t xml:space="preserve">This analysis strictly adheres to the methodologies and requirements set forth by the</w:t>
      </w:r>
      <w:r>
        <w:t xml:space="preserve"> </w:t>
      </w:r>
      <w:r>
        <w:rPr>
          <w:bCs/>
          <w:b/>
        </w:rPr>
        <w:t xml:space="preserve">GHG Protocol</w:t>
      </w:r>
      <w:r>
        <w:t xml:space="preserve">. This includes the categorization of emissions into Scope 1 (direct emissions), Scope 2 (indirect emissions from purchased energy), and Scope 3 (all other indirect emissions in the value chain).</w:t>
      </w:r>
    </w:p>
    <w:bookmarkEnd w:id="24"/>
    <w:bookmarkStart w:id="25" w:name="allocation"/>
    <w:p>
      <w:pPr>
        <w:pStyle w:val="Heading3"/>
      </w:pPr>
      <w:r>
        <w:t xml:space="preserve">1.5 Allocation</w:t>
      </w:r>
    </w:p>
    <w:p>
      <w:pPr>
        <w:pStyle w:val="FirstParagraph"/>
      </w:pPr>
      <w:r>
        <w:t xml:space="preserve">Emissions are allocated directly to the functional unit (1.0 unit of eutmofnkft). Where shared processes or infrastructure are involved (e.g., transport vehicles carrying multiple products), emissions are allocated based on the mass-distance approach for the product.</w:t>
      </w:r>
    </w:p>
    <w:p>
      <w:pPr>
        <w:pStyle w:val="BodyText"/>
      </w:pPr>
      <w:r>
        <w:t xml:space="preserve">2. Map Lifecycle (LCI Inventory Stages)</w:t>
      </w:r>
    </w:p>
    <w:p>
      <w:pPr>
        <w:pStyle w:val="BodyText"/>
      </w:pPr>
      <w:r>
        <w:t xml:space="preserve">The lifecycle of eutmofnkft has been mapped into the following stages, with associated GHG Protocol scopes:</w:t>
      </w:r>
    </w:p>
    <w:p>
      <w:pPr>
        <w:numPr>
          <w:ilvl w:val="0"/>
          <w:numId w:val="1001"/>
        </w:numPr>
        <w:pStyle w:val="Compact"/>
      </w:pPr>
      <w:r>
        <w:rPr>
          <w:bCs/>
          <w:b/>
        </w:rPr>
        <w:t xml:space="preserve">Raw Material Acquisition &amp; Pre-processing (Scope 3 - Category 1: Purchased goods and services):</w:t>
      </w:r>
      <w:r>
        <w:t xml:space="preserve"> </w:t>
      </w:r>
      <w:r>
        <w:t xml:space="preserve">Emissions associated with the extraction, cultivation, processing, and refining of all raw materials used in eutmofnkft. This includes upstream emissions of component manufacturing.</w:t>
      </w:r>
    </w:p>
    <w:p>
      <w:pPr>
        <w:numPr>
          <w:ilvl w:val="0"/>
          <w:numId w:val="1001"/>
        </w:numPr>
        <w:pStyle w:val="Compact"/>
      </w:pPr>
      <w:r>
        <w:rPr>
          <w:bCs/>
          <w:b/>
        </w:rPr>
        <w:t xml:space="preserve">Manufacturing (Production) (Scope 1: Direct emissions; Scope 2: Purchased electricity):</w:t>
      </w:r>
      <w:r>
        <w:t xml:space="preserve"> </w:t>
      </w:r>
      <w:r>
        <w:t xml:space="preserve">Emissions generated at mozxxotsfg\'s production facility in China, including direct fuel combustion (Scope 1, assumed negligible for this analysis without specific data) and electricity consumption (Scope 2).</w:t>
      </w:r>
    </w:p>
    <w:p>
      <w:pPr>
        <w:numPr>
          <w:ilvl w:val="0"/>
          <w:numId w:val="1001"/>
        </w:numPr>
        <w:pStyle w:val="Compact"/>
      </w:pPr>
      <w:r>
        <w:rPr>
          <w:bCs/>
          <w:b/>
        </w:rPr>
        <w:t xml:space="preserve">Transportation (Scope 3 - Category 4: Upstream transportation &amp; distribution; Category 9: Downstream transportation &amp; distribution):</w:t>
      </w:r>
      <w:r>
        <w:t xml:space="preserve"> </w:t>
      </w:r>
      <w:r>
        <w:t xml:space="preserve">Emissions from the transport of raw materials to the factory (upstream) and the finished product from the factory gate to the customer (downstream).</w:t>
      </w:r>
    </w:p>
    <w:p>
      <w:pPr>
        <w:numPr>
          <w:ilvl w:val="0"/>
          <w:numId w:val="1001"/>
        </w:numPr>
        <w:pStyle w:val="Compact"/>
      </w:pPr>
      <w:r>
        <w:rPr>
          <w:bCs/>
          <w:b/>
        </w:rPr>
        <w:t xml:space="preserve">Use Phase (Scope 3 - Category 11: Use of sold products):</w:t>
      </w:r>
      <w:r>
        <w:t xml:space="preserve"> </w:t>
      </w:r>
      <w:r>
        <w:t xml:space="preserve">Emissions resulting from the energy consumption of the product during its functional lifespan by the end-user (assuming use in Europe).</w:t>
      </w:r>
    </w:p>
    <w:p>
      <w:pPr>
        <w:numPr>
          <w:ilvl w:val="0"/>
          <w:numId w:val="1001"/>
        </w:numPr>
        <w:pStyle w:val="Compact"/>
      </w:pPr>
      <w:r>
        <w:rPr>
          <w:bCs/>
          <w:b/>
        </w:rPr>
        <w:t xml:space="preserve">End-of-Life (EoL) Treatment (Scope 3 - Category 12: End-of-life treatment of sold products):</w:t>
      </w:r>
      <w:r>
        <w:t xml:space="preserve"> </w:t>
      </w:r>
      <w:r>
        <w:t xml:space="preserve">Emissions associated with the disposal or recycling of the product at the end of its useful life.</w:t>
      </w:r>
    </w:p>
    <w:p>
      <w:pPr>
        <w:pStyle w:val="FirstParagraph"/>
      </w:pPr>
      <w:r>
        <w:t xml:space="preserve">3. Collect Data</w:t>
      </w:r>
    </w:p>
    <w:p>
      <w:pPr>
        <w:pStyle w:val="BodyText"/>
      </w:pPr>
      <w:r>
        <w:t xml:space="preserve">Primary data provided by mozxxotsfg and secondary data from industry-standard emission factor databases (like IEA, Climate Transparency Report, McKinnon, etc.) have been utilized for this analysis.</w:t>
      </w:r>
    </w:p>
    <w:bookmarkEnd w:id="25"/>
    <w:bookmarkStart w:id="26" w:name="X6cc8b4814de4499ad6f7e4113b8b1649890b782"/>
    <w:p>
      <w:pPr>
        <w:pStyle w:val="Heading3"/>
      </w:pPr>
      <w:r>
        <w:t xml:space="preserve">3.1 Detailed Bill of Materials (BOM) for eutmofnkft</w:t>
      </w:r>
    </w:p>
    <w:p>
      <w:pPr>
        <w:pStyle w:val="FirstParagraph"/>
      </w:pPr>
      <w:r>
        <w:t xml:space="preserve">The following Bill of Materials (BOM) was provided for high-accuracy material impact calculation. The \'Total Carbon\' values represent cradle-to-gate emissions for each component.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bl>
    <w:p>
      <w:pPr>
        <w:pStyle w:val="BodyText"/>
      </w:pPr>
      <w:r>
        <w:rPr>
          <w:bCs/>
          <w:b/>
        </w:rPr>
        <w:t xml:space="preserve">Total Mass of Physical Materials (Al, Plastic, Cu) for PCF:</w:t>
      </w:r>
      <w:r>
        <w:t xml:space="preserve"> </w:t>
      </w:r>
      <w:r>
        <w:t xml:space="preserve">0.75 kg</w:t>
      </w:r>
    </w:p>
    <w:bookmarkEnd w:id="26"/>
    <w:bookmarkStart w:id="27" w:name="energy-inputs-production-phase"/>
    <w:p>
      <w:pPr>
        <w:pStyle w:val="Heading3"/>
      </w:pPr>
      <w:r>
        <w:t xml:space="preserve">3.2 Energy Inputs (Production Phase)</w:t>
      </w:r>
    </w:p>
    <w:p>
      <w:pPr>
        <w:numPr>
          <w:ilvl w:val="0"/>
          <w:numId w:val="1002"/>
        </w:numPr>
        <w:pStyle w:val="Compact"/>
      </w:pPr>
      <w:r>
        <w:rPr>
          <w:bCs/>
          <w:b/>
        </w:rPr>
        <w:t xml:space="preserve">Energy Intensity (kWh/unit):</w:t>
      </w:r>
      <w:r>
        <w:t xml:space="preserve"> </w:t>
      </w:r>
      <w:r>
        <w:t xml:space="preserve">15 kWh/unit</w:t>
      </w:r>
    </w:p>
    <w:p>
      <w:pPr>
        <w:numPr>
          <w:ilvl w:val="0"/>
          <w:numId w:val="1002"/>
        </w:numPr>
        <w:pStyle w:val="Compact"/>
      </w:pPr>
      <w:r>
        <w:rPr>
          <w:bCs/>
          <w:b/>
        </w:rPr>
        <w:t xml:space="preserve">Renewable Energy Usage:</w:t>
      </w:r>
      <w:r>
        <w:t xml:space="preserve"> </w:t>
      </w:r>
      <w:r>
        <w:t xml:space="preserve">30%</w:t>
      </w:r>
    </w:p>
    <w:p>
      <w:pPr>
        <w:numPr>
          <w:ilvl w:val="0"/>
          <w:numId w:val="1002"/>
        </w:numPr>
        <w:pStyle w:val="Compact"/>
      </w:pPr>
      <w:r>
        <w:rPr>
          <w:bCs/>
          <w:b/>
        </w:rPr>
        <w:t xml:space="preserve">Non-renewable Electricity Consumption:</w:t>
      </w:r>
      <w:r>
        <w:t xml:space="preserve"> </w:t>
      </w:r>
      <w:r>
        <w:t xml:space="preserve">15 kWh * (1 - 0.30) = 10.5 kWh</w:t>
      </w:r>
    </w:p>
    <w:p>
      <w:pPr>
        <w:numPr>
          <w:ilvl w:val="0"/>
          <w:numId w:val="1002"/>
        </w:numPr>
        <w:pStyle w:val="Compact"/>
      </w:pPr>
      <w:r>
        <w:rPr>
          <w:bCs/>
          <w:b/>
        </w:rPr>
        <w:t xml:space="preserve">China Electricity Grid Emission Factor:</w:t>
      </w:r>
      <w:r>
        <w:t xml:space="preserve"> </w:t>
      </w:r>
      <w:r>
        <w:t xml:space="preserve">0.6093 kgCO2e/kWh (IEA 2021 reported by MEE)</w:t>
      </w:r>
    </w:p>
    <w:bookmarkEnd w:id="27"/>
    <w:bookmarkStart w:id="28" w:name="logistics-data"/>
    <w:p>
      <w:pPr>
        <w:pStyle w:val="Heading3"/>
      </w:pPr>
      <w:r>
        <w:t xml:space="preserve">3.3 Logistics Data</w:t>
      </w:r>
    </w:p>
    <w:p>
      <w:pPr>
        <w:numPr>
          <w:ilvl w:val="0"/>
          <w:numId w:val="1003"/>
        </w:numPr>
        <w:pStyle w:val="Compact"/>
      </w:pPr>
      <w:r>
        <w:rPr>
          <w:bCs/>
          <w:b/>
        </w:rPr>
        <w:t xml:space="preserve">Transport Distance:</w:t>
      </w:r>
      <w:r>
        <w:t xml:space="preserve"> </w:t>
      </w:r>
      <w:r>
        <w:t xml:space="preserve">1000 km (for primary transport from China to Europe)</w:t>
      </w:r>
    </w:p>
    <w:p>
      <w:pPr>
        <w:numPr>
          <w:ilvl w:val="0"/>
          <w:numId w:val="1003"/>
        </w:numPr>
        <w:pStyle w:val="Compact"/>
      </w:pPr>
      <w:r>
        <w:rPr>
          <w:bCs/>
          <w:b/>
        </w:rPr>
        <w:t xml:space="preserve">Transport Mode (Primary):</w:t>
      </w:r>
      <w:r>
        <w:t xml:space="preserve"> </w:t>
      </w:r>
      <w:r>
        <w:t xml:space="preserve">Heavy Goods Vehicle (HGV) - assumed.</w:t>
      </w:r>
    </w:p>
    <w:p>
      <w:pPr>
        <w:numPr>
          <w:ilvl w:val="0"/>
          <w:numId w:val="1003"/>
        </w:numPr>
        <w:pStyle w:val="Compact"/>
      </w:pPr>
      <w:r>
        <w:rPr>
          <w:bCs/>
          <w:b/>
        </w:rPr>
        <w:t xml:space="preserve">Last-Mile Delivery Channel:</w:t>
      </w:r>
      <w:r>
        <w:t xml:space="preserve"> </w:t>
      </w:r>
      <w:r>
        <w:t xml:space="preserve">Light Commercial Vehicle (LCV) - assumed (additional 100 km).</w:t>
      </w:r>
    </w:p>
    <w:p>
      <w:pPr>
        <w:numPr>
          <w:ilvl w:val="0"/>
          <w:numId w:val="1003"/>
        </w:numPr>
        <w:pStyle w:val="Compact"/>
      </w:pPr>
      <w:r>
        <w:rPr>
          <w:bCs/>
          <w:b/>
        </w:rPr>
        <w:t xml:space="preserve">Product Weight for Transport:</w:t>
      </w:r>
      <w:r>
        <w:t xml:space="preserve"> </w:t>
      </w:r>
      <w:r>
        <w:t xml:space="preserve">0.75 kg (sum of Aluminum Casing, Plastic Housing, Copper Wire). The PCB (0.1 unit) is considered an assembly and its specific transport mass is not separately factored into the overall product weight for logistics calculations to avoid overestimation without explicit data.</w:t>
      </w:r>
    </w:p>
    <w:p>
      <w:pPr>
        <w:numPr>
          <w:ilvl w:val="0"/>
          <w:numId w:val="1003"/>
        </w:numPr>
        <w:pStyle w:val="Compact"/>
      </w:pPr>
      <w:r>
        <w:rPr>
          <w:bCs/>
          <w:b/>
        </w:rPr>
        <w:t xml:space="preserve">HGV Emission Factor:</w:t>
      </w:r>
      <w:r>
        <w:t xml:space="preserve"> </w:t>
      </w:r>
      <w:r>
        <w:t xml:space="preserve">0.062 kgCO2e/tonne-km (McKinnon average for road transport)</w:t>
      </w:r>
    </w:p>
    <w:p>
      <w:pPr>
        <w:numPr>
          <w:ilvl w:val="0"/>
          <w:numId w:val="1003"/>
        </w:numPr>
        <w:pStyle w:val="Compact"/>
      </w:pPr>
      <w:r>
        <w:rPr>
          <w:bCs/>
          <w:b/>
        </w:rPr>
        <w:t xml:space="preserve">LCV Emission Factor:</w:t>
      </w:r>
      <w:r>
        <w:t xml:space="preserve"> </w:t>
      </w:r>
      <w:r>
        <w:t xml:space="preserve">0.200 kgCO2e/tonne-km (estimated for last-mile, reflecting lower efficiency)</w:t>
      </w:r>
    </w:p>
    <w:bookmarkEnd w:id="28"/>
    <w:bookmarkStart w:id="29" w:name="use-phase-data"/>
    <w:p>
      <w:pPr>
        <w:pStyle w:val="Heading3"/>
      </w:pPr>
      <w:r>
        <w:t xml:space="preserve">3.4 Use Phase Data</w:t>
      </w:r>
    </w:p>
    <w:p>
      <w:pPr>
        <w:numPr>
          <w:ilvl w:val="0"/>
          <w:numId w:val="1004"/>
        </w:numPr>
        <w:pStyle w:val="Compact"/>
      </w:pPr>
      <w:r>
        <w:rPr>
          <w:bCs/>
          <w:b/>
        </w:rPr>
        <w:t xml:space="preserve">Product Lifespan:</w:t>
      </w:r>
      <w:r>
        <w:t xml:space="preserve"> </w:t>
      </w:r>
      <w:r>
        <w:t xml:space="preserve">5 years</w:t>
      </w:r>
    </w:p>
    <w:p>
      <w:pPr>
        <w:numPr>
          <w:ilvl w:val="0"/>
          <w:numId w:val="1004"/>
        </w:numPr>
        <w:pStyle w:val="Compact"/>
      </w:pPr>
      <w:r>
        <w:rPr>
          <w:bCs/>
          <w:b/>
        </w:rPr>
        <w:t xml:space="preserve">Energy Consumption in Use:</w:t>
      </w:r>
      <w:r>
        <w:t xml:space="preserve"> </w:t>
      </w:r>
      <w:r>
        <w:t xml:space="preserve">50 kWh/year</w:t>
      </w:r>
    </w:p>
    <w:p>
      <w:pPr>
        <w:numPr>
          <w:ilvl w:val="0"/>
          <w:numId w:val="1004"/>
        </w:numPr>
        <w:pStyle w:val="Compact"/>
      </w:pPr>
      <w:r>
        <w:rPr>
          <w:bCs/>
          <w:b/>
        </w:rPr>
        <w:t xml:space="preserve">Total Energy Consumption over Lifespan:</w:t>
      </w:r>
      <w:r>
        <w:t xml:space="preserve"> </w:t>
      </w:r>
      <w:r>
        <w:t xml:space="preserve">50 kWh/year * 5 years = 250 kWh</w:t>
      </w:r>
    </w:p>
    <w:p>
      <w:pPr>
        <w:numPr>
          <w:ilvl w:val="0"/>
          <w:numId w:val="1004"/>
        </w:numPr>
        <w:pStyle w:val="Compact"/>
      </w:pPr>
      <w:r>
        <w:rPr>
          <w:bCs/>
          <w:b/>
        </w:rPr>
        <w:t xml:space="preserve">EU Electricity Grid Emission Factor:</w:t>
      </w:r>
      <w:r>
        <w:t xml:space="preserve"> </w:t>
      </w:r>
      <w:r>
        <w:t xml:space="preserve">0.238 kgCO2e/kWh (Climate Transparency Report 2019)</w:t>
      </w:r>
    </w:p>
    <w:bookmarkEnd w:id="29"/>
    <w:bookmarkStart w:id="30" w:name="end-of-life-eol-scenarios"/>
    <w:p>
      <w:pPr>
        <w:pStyle w:val="Heading3"/>
      </w:pPr>
      <w:r>
        <w:t xml:space="preserve">3.5 End-of-Life (EoL) Scenarios</w:t>
      </w:r>
    </w:p>
    <w:p>
      <w:pPr>
        <w:numPr>
          <w:ilvl w:val="0"/>
          <w:numId w:val="1005"/>
        </w:numPr>
        <w:pStyle w:val="Compact"/>
      </w:pPr>
      <w:r>
        <w:rPr>
          <w:bCs/>
          <w:b/>
        </w:rPr>
        <w:t xml:space="preserve">Recyclability Percentage:</w:t>
      </w:r>
      <w:r>
        <w:t xml:space="preserve"> </w:t>
      </w:r>
      <w:r>
        <w:t xml:space="preserve">70%</w:t>
      </w:r>
    </w:p>
    <w:p>
      <w:pPr>
        <w:numPr>
          <w:ilvl w:val="0"/>
          <w:numId w:val="1005"/>
        </w:numPr>
        <w:pStyle w:val="Compact"/>
      </w:pPr>
      <w:r>
        <w:rPr>
          <w:bCs/>
          <w:b/>
        </w:rPr>
        <w:t xml:space="preserve">Circular/Take-back Programs:</w:t>
      </w:r>
      <w:r>
        <w:t xml:space="preserve"> </w:t>
      </w:r>
      <w:r>
        <w:t xml:space="preserve">Yes, local collection points.</w:t>
      </w:r>
    </w:p>
    <w:p>
      <w:pPr>
        <w:numPr>
          <w:ilvl w:val="0"/>
          <w:numId w:val="1005"/>
        </w:numPr>
        <w:pStyle w:val="Compact"/>
      </w:pPr>
      <w:r>
        <w:rPr>
          <w:bCs/>
          <w:b/>
        </w:rPr>
        <w:t xml:space="preserve">Waste Disposal Emission Factor (Landfill, general mixed materials):</w:t>
      </w:r>
      <w:r>
        <w:t xml:space="preserve"> </w:t>
      </w:r>
      <w:r>
        <w:t xml:space="preserve">0.05 kgCO2e/kg (simplified average for mixed waste, recognizing variations by material)</w:t>
      </w:r>
    </w:p>
    <w:p>
      <w:pPr>
        <w:pStyle w:val="FirstParagraph"/>
      </w:pPr>
      <w:r>
        <w:t xml:space="preserve">4. Calculate Emissions</w:t>
      </w:r>
    </w:p>
    <w:p>
      <w:pPr>
        <w:pStyle w:val="BodyText"/>
      </w:pPr>
      <w:r>
        <w:t xml:space="preserve">Emissions for each lifecycle stage are calculated using the formula: Activity Data × Emission Factor = CO2e.</w:t>
      </w:r>
    </w:p>
    <w:bookmarkEnd w:id="30"/>
    <w:bookmarkStart w:id="31" w:name="X803f1a2d294c2df7ca399abbc08b79c0f9fca01"/>
    <w:p>
      <w:pPr>
        <w:pStyle w:val="Heading3"/>
      </w:pPr>
      <w:r>
        <w:t xml:space="preserve">4.1 Raw Material Acquisition &amp; Pre-processing (Scope 3, Category 1)</w:t>
      </w:r>
    </w:p>
    <w:p>
      <w:pPr>
        <w:pStyle w:val="FirstParagraph"/>
      </w:pPr>
      <w:r>
        <w:t xml:space="preserve">This category includes emissions from the upstream production of all materials and components specified in the BOM.</w:t>
      </w:r>
    </w:p>
    <w:p>
      <w:pPr>
        <w:numPr>
          <w:ilvl w:val="0"/>
          <w:numId w:val="1006"/>
        </w:numPr>
        <w:pStyle w:val="Compact"/>
      </w:pPr>
      <w:r>
        <w:t xml:space="preserve">Aluminum Casing: 1.25 kgCO2e</w:t>
      </w:r>
    </w:p>
    <w:p>
      <w:pPr>
        <w:numPr>
          <w:ilvl w:val="0"/>
          <w:numId w:val="1006"/>
        </w:numPr>
        <w:pStyle w:val="Compact"/>
      </w:pPr>
      <w:r>
        <w:t xml:space="preserve">Plastic Housing: 0.60 kgCO2e</w:t>
      </w:r>
    </w:p>
    <w:p>
      <w:pPr>
        <w:numPr>
          <w:ilvl w:val="0"/>
          <w:numId w:val="1006"/>
        </w:numPr>
        <w:pStyle w:val="Compact"/>
      </w:pPr>
      <w:r>
        <w:t xml:space="preserve">PCB: 1.00 kgCO2e</w:t>
      </w:r>
    </w:p>
    <w:p>
      <w:pPr>
        <w:numPr>
          <w:ilvl w:val="0"/>
          <w:numId w:val="1006"/>
        </w:numPr>
        <w:pStyle w:val="Compact"/>
      </w:pPr>
      <w:r>
        <w:t xml:space="preserve">Copper Wire: 0.20 kgCO2e</w:t>
      </w:r>
    </w:p>
    <w:p>
      <w:pPr>
        <w:pStyle w:val="FirstParagraph"/>
      </w:pPr>
      <w:r>
        <w:rPr>
          <w:bCs/>
          <w:b/>
        </w:rPr>
        <w:t xml:space="preserve">Subtotal Raw Materials: 3.05 kgCO2e</w:t>
      </w:r>
    </w:p>
    <w:bookmarkEnd w:id="31"/>
    <w:bookmarkStart w:id="32" w:name="manufacturing-production-scope-2"/>
    <w:p>
      <w:pPr>
        <w:pStyle w:val="Heading3"/>
      </w:pPr>
      <w:r>
        <w:t xml:space="preserve">4.2 Manufacturing (Production) (Scope 2)</w:t>
      </w:r>
    </w:p>
    <w:p>
      <w:pPr>
        <w:pStyle w:val="FirstParagraph"/>
      </w:pPr>
      <w:r>
        <w:t xml:space="preserve">Emissions from electricity consumed during the product\'s manufacturing phase in China.</w:t>
      </w:r>
    </w:p>
    <w:p>
      <w:pPr>
        <w:numPr>
          <w:ilvl w:val="0"/>
          <w:numId w:val="1007"/>
        </w:numPr>
        <w:pStyle w:val="Compact"/>
      </w:pPr>
      <w:r>
        <w:t xml:space="preserve">Non-renewable Electricity Consumption: 10.5 kWh</w:t>
      </w:r>
    </w:p>
    <w:p>
      <w:pPr>
        <w:numPr>
          <w:ilvl w:val="0"/>
          <w:numId w:val="1007"/>
        </w:numPr>
        <w:pStyle w:val="Compact"/>
      </w:pPr>
      <w:r>
        <w:t xml:space="preserve">China Grid Emission Factor: 0.6093 kgCO2e/kWh</w:t>
      </w:r>
    </w:p>
    <w:p>
      <w:pPr>
        <w:numPr>
          <w:ilvl w:val="0"/>
          <w:numId w:val="1007"/>
        </w:numPr>
        <w:pStyle w:val="Compact"/>
      </w:pPr>
      <w:r>
        <w:t xml:space="preserve">Calculation: 10.5 kWh * 0.6093 kgCO2e/kWh = 6.40 kgCO2e</w:t>
      </w:r>
    </w:p>
    <w:p>
      <w:pPr>
        <w:pStyle w:val="FirstParagraph"/>
      </w:pPr>
      <w:r>
        <w:rPr>
          <w:bCs/>
          <w:b/>
        </w:rPr>
        <w:t xml:space="preserve">Subtotal Manufacturing: 6.40 kgCO2e</w:t>
      </w:r>
    </w:p>
    <w:bookmarkEnd w:id="32"/>
    <w:bookmarkStart w:id="33" w:name="transportation-scope-3-categories-4-9"/>
    <w:p>
      <w:pPr>
        <w:pStyle w:val="Heading3"/>
      </w:pPr>
      <w:r>
        <w:t xml:space="preserve">4.3 Transportation (Scope 3, Categories 4 &amp; 9)</w:t>
      </w:r>
    </w:p>
    <w:p>
      <w:pPr>
        <w:pStyle w:val="FirstParagraph"/>
      </w:pPr>
      <w:r>
        <w:t xml:space="preserve">Emissions from transporting the finished product (0.75 kg) over 1000 km (primary) and an assumed 100 km (last-mile).</w:t>
      </w:r>
    </w:p>
    <w:p>
      <w:pPr>
        <w:numPr>
          <w:ilvl w:val="0"/>
          <w:numId w:val="1008"/>
        </w:numPr>
        <w:pStyle w:val="Compact"/>
      </w:pPr>
      <w:r>
        <w:t xml:space="preserve">Primary Transport (HGV):</w:t>
      </w:r>
    </w:p>
    <w:p>
      <w:pPr>
        <w:numPr>
          <w:ilvl w:val="0"/>
          <w:numId w:val="1008"/>
        </w:numPr>
        <w:pStyle w:val="Compact"/>
      </w:pPr>
    </w:p>
    <w:p>
      <w:pPr>
        <w:numPr>
          <w:ilvl w:val="1"/>
          <w:numId w:val="1009"/>
        </w:numPr>
        <w:pStyle w:val="Compact"/>
      </w:pPr>
      <w:r>
        <w:t xml:space="preserve">Activity: 0.75 kg * 1000 km = 750 kg-km = 0.75 tonne-km</w:t>
      </w:r>
    </w:p>
    <w:p>
      <w:pPr>
        <w:numPr>
          <w:ilvl w:val="1"/>
          <w:numId w:val="1009"/>
        </w:numPr>
        <w:pStyle w:val="Compact"/>
      </w:pPr>
      <w:r>
        <w:t xml:space="preserve">Emission Factor: 0.062 kgCO2e/tonne-km</w:t>
      </w:r>
    </w:p>
    <w:p>
      <w:pPr>
        <w:numPr>
          <w:ilvl w:val="1"/>
          <w:numId w:val="1009"/>
        </w:numPr>
        <w:pStyle w:val="Compact"/>
      </w:pPr>
      <w:r>
        <w:t xml:space="preserve">Calculation: 0.75 tonne-km * 0.062 kgCO2e/tonne-km = 0.0465 kgCO2e</w:t>
      </w:r>
    </w:p>
    <w:p>
      <w:pPr>
        <w:numPr>
          <w:ilvl w:val="0"/>
          <w:numId w:val="1008"/>
        </w:numPr>
        <w:pStyle w:val="Compact"/>
      </w:pPr>
      <w:r>
        <w:t xml:space="preserve">Last-Mile Delivery (LCV):</w:t>
      </w:r>
    </w:p>
    <w:p>
      <w:pPr>
        <w:numPr>
          <w:ilvl w:val="0"/>
          <w:numId w:val="1008"/>
        </w:numPr>
        <w:pStyle w:val="Compact"/>
      </w:pPr>
    </w:p>
    <w:p>
      <w:pPr>
        <w:numPr>
          <w:ilvl w:val="1"/>
          <w:numId w:val="1010"/>
        </w:numPr>
        <w:pStyle w:val="Compact"/>
      </w:pPr>
      <w:r>
        <w:t xml:space="preserve">Activity: 0.75 kg * 100 km = 75 kg-km = 0.075 tonne-km</w:t>
      </w:r>
    </w:p>
    <w:p>
      <w:pPr>
        <w:numPr>
          <w:ilvl w:val="1"/>
          <w:numId w:val="1010"/>
        </w:numPr>
        <w:pStyle w:val="Compact"/>
      </w:pPr>
      <w:r>
        <w:t xml:space="preserve">Emission Factor: 0.200 kgCO2e/tonne-km (estimated)</w:t>
      </w:r>
    </w:p>
    <w:p>
      <w:pPr>
        <w:numPr>
          <w:ilvl w:val="1"/>
          <w:numId w:val="1010"/>
        </w:numPr>
        <w:pStyle w:val="Compact"/>
      </w:pPr>
      <w:r>
        <w:t xml:space="preserve">Calculation: 0.075 tonne-km * 0.200 kgCO2e/tonne-km = 0.015 kgCO2e</w:t>
      </w:r>
    </w:p>
    <w:p>
      <w:pPr>
        <w:pStyle w:val="FirstParagraph"/>
      </w:pPr>
      <w:r>
        <w:rPr>
          <w:bCs/>
          <w:b/>
        </w:rPr>
        <w:t xml:space="preserve">Subtotal Transportation: 0.0465 + 0.015 = 0.06 kgCO2e</w:t>
      </w:r>
    </w:p>
    <w:bookmarkEnd w:id="33"/>
    <w:bookmarkStart w:id="34" w:name="use-phase-scope-3-category-11"/>
    <w:p>
      <w:pPr>
        <w:pStyle w:val="Heading3"/>
      </w:pPr>
      <w:r>
        <w:t xml:space="preserve">4.4 Use Phase (Scope 3, Category 11)</w:t>
      </w:r>
    </w:p>
    <w:p>
      <w:pPr>
        <w:pStyle w:val="FirstParagraph"/>
      </w:pPr>
      <w:r>
        <w:t xml:space="preserve">Emissions from the product\'s electricity consumption during its 5-year lifespan, assuming use in Europe.</w:t>
      </w:r>
    </w:p>
    <w:p>
      <w:pPr>
        <w:numPr>
          <w:ilvl w:val="0"/>
          <w:numId w:val="1011"/>
        </w:numPr>
        <w:pStyle w:val="Compact"/>
      </w:pPr>
      <w:r>
        <w:t xml:space="preserve">Total Energy Consumption: 250 kWh</w:t>
      </w:r>
    </w:p>
    <w:p>
      <w:pPr>
        <w:numPr>
          <w:ilvl w:val="0"/>
          <w:numId w:val="1011"/>
        </w:numPr>
        <w:pStyle w:val="Compact"/>
      </w:pPr>
      <w:r>
        <w:t xml:space="preserve">EU Grid Emission Factor: 0.238 kgCO2e/kWh</w:t>
      </w:r>
    </w:p>
    <w:p>
      <w:pPr>
        <w:numPr>
          <w:ilvl w:val="0"/>
          <w:numId w:val="1011"/>
        </w:numPr>
        <w:pStyle w:val="Compact"/>
      </w:pPr>
      <w:r>
        <w:t xml:space="preserve">Calculation: 250 kWh * 0.238 kgCO2e/kWh = 59.50 kgCO2e</w:t>
      </w:r>
    </w:p>
    <w:p>
      <w:pPr>
        <w:pStyle w:val="FirstParagraph"/>
      </w:pPr>
      <w:r>
        <w:rPr>
          <w:bCs/>
          <w:b/>
        </w:rPr>
        <w:t xml:space="preserve">Subtotal Use Phase: 59.50 kgCO2e</w:t>
      </w:r>
    </w:p>
    <w:bookmarkEnd w:id="34"/>
    <w:bookmarkStart w:id="35" w:name="Xd8b0cc1007d2f3c714880ecf2ca12af4f909441"/>
    <w:p>
      <w:pPr>
        <w:pStyle w:val="Heading3"/>
      </w:pPr>
      <w:r>
        <w:t xml:space="preserve">4.5 End-of-Life (EoL) Treatment (Scope 3, Category 12)</w:t>
      </w:r>
    </w:p>
    <w:p>
      <w:pPr>
        <w:pStyle w:val="FirstParagraph"/>
      </w:pPr>
      <w:r>
        <w:t xml:space="preserve">Emissions from the disposal of the non-recycled portion of the product\'s physical materials (0.75 kg total).</w:t>
      </w:r>
    </w:p>
    <w:p>
      <w:pPr>
        <w:numPr>
          <w:ilvl w:val="0"/>
          <w:numId w:val="1012"/>
        </w:numPr>
        <w:pStyle w:val="Compact"/>
      </w:pPr>
      <w:r>
        <w:t xml:space="preserve">Non-recycled Material Mass: 0.75 kg * (1 - 0.70) = 0.225 kg</w:t>
      </w:r>
    </w:p>
    <w:p>
      <w:pPr>
        <w:numPr>
          <w:ilvl w:val="0"/>
          <w:numId w:val="1012"/>
        </w:numPr>
        <w:pStyle w:val="Compact"/>
      </w:pPr>
      <w:r>
        <w:t xml:space="preserve">Waste Disposal Emission Factor (Landfill): 0.05 kgCO2e/kg (simplified)</w:t>
      </w:r>
    </w:p>
    <w:p>
      <w:pPr>
        <w:numPr>
          <w:ilvl w:val="0"/>
          <w:numId w:val="1012"/>
        </w:numPr>
        <w:pStyle w:val="Compact"/>
      </w:pPr>
      <w:r>
        <w:t xml:space="preserve">Calculation: 0.225 kg * 0.05 kgCO2e/kg = 0.01125 kgCO2e</w:t>
      </w:r>
    </w:p>
    <w:p>
      <w:pPr>
        <w:pStyle w:val="FirstParagraph"/>
      </w:pPr>
      <w:r>
        <w:rPr>
          <w:bCs/>
          <w:b/>
        </w:rPr>
        <w:t xml:space="preserve">Subtotal End-of-Life (Disposal): 0.01 kgCO2e</w:t>
      </w:r>
    </w:p>
    <w:p>
      <w:pPr>
        <w:pStyle w:val="BodyText"/>
      </w:pPr>
      <w:r>
        <w:t xml:space="preserve">The 70% recyclability and "Yes, local collection points" for circular/take-back programs indicate significant potential for avoided emissions from the recycling of materials like aluminum and plastic. For instance, aluminum recycling can reduce emissions by approximately 95% compared to primary production, and plastic recycling can reduce emissions by at least 50% compared to virgin plastic production. While these avoided emissions are not numerically subtracted from the total PCF in this report to maintain a conservative footprint, their impact represents a substantial environmental benefit of the product\'s circularity efforts.</w:t>
      </w:r>
    </w:p>
    <w:p>
      <w:pPr>
        <w:pStyle w:val="BodyText"/>
      </w:pPr>
      <w:r>
        <w:t xml:space="preserve">Total Product Carbon Footprint (PCF) Summary</w:t>
      </w:r>
    </w:p>
    <w:p>
      <w:pPr>
        <w:pStyle w:val="BodyText"/>
      </w:pPr>
      <w:r>
        <w:t xml:space="preserve">The following table summarizes the calculated emissions across the lifecycle of one unit of eutmofnkft: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Percentage of Total</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3.05</w:t>
            </w:r>
          </w:p>
        </w:tc>
        <w:tc>
          <w:tcPr/>
          <w:p>
            <w:pPr>
              <w:pStyle w:val="Compact"/>
              <w:jc w:val="left"/>
            </w:pPr>
            <w:r>
              <w:t xml:space="preserve">4.42%</w:t>
            </w:r>
          </w:p>
        </w:tc>
      </w:tr>
      <w:tr>
        <w:tc>
          <w:tcPr/>
          <w:p>
            <w:pPr>
              <w:pStyle w:val="Compact"/>
              <w:jc w:val="left"/>
            </w:pPr>
            <w:r>
              <w:t xml:space="preserve">Manufacturing (Production)</w:t>
            </w:r>
          </w:p>
        </w:tc>
        <w:tc>
          <w:tcPr/>
          <w:p>
            <w:pPr>
              <w:pStyle w:val="Compact"/>
              <w:jc w:val="left"/>
            </w:pPr>
            <w:r>
              <w:t xml:space="preserve">Scope 2</w:t>
            </w:r>
          </w:p>
        </w:tc>
        <w:tc>
          <w:tcPr/>
          <w:p>
            <w:pPr>
              <w:pStyle w:val="Compact"/>
              <w:jc w:val="left"/>
            </w:pPr>
            <w:r>
              <w:t xml:space="preserve">6.40</w:t>
            </w:r>
          </w:p>
        </w:tc>
        <w:tc>
          <w:tcPr/>
          <w:p>
            <w:pPr>
              <w:pStyle w:val="Compact"/>
              <w:jc w:val="left"/>
            </w:pPr>
            <w:r>
              <w:t xml:space="preserve">9.27%</w:t>
            </w:r>
          </w:p>
        </w:tc>
      </w:tr>
      <w:tr>
        <w:tc>
          <w:tcPr/>
          <w:p>
            <w:pPr>
              <w:pStyle w:val="Compact"/>
              <w:jc w:val="left"/>
            </w:pPr>
            <w:r>
              <w:t xml:space="preserve">Transportation</w:t>
            </w:r>
          </w:p>
        </w:tc>
        <w:tc>
          <w:tcPr/>
          <w:p>
            <w:pPr>
              <w:pStyle w:val="Compact"/>
              <w:jc w:val="left"/>
            </w:pPr>
            <w:r>
              <w:t xml:space="preserve">Scope 3 (Categories 4 &amp; 9)</w:t>
            </w:r>
          </w:p>
        </w:tc>
        <w:tc>
          <w:tcPr/>
          <w:p>
            <w:pPr>
              <w:pStyle w:val="Compact"/>
              <w:jc w:val="left"/>
            </w:pPr>
            <w:r>
              <w:t xml:space="preserve">0.06</w:t>
            </w:r>
          </w:p>
        </w:tc>
        <w:tc>
          <w:tcPr/>
          <w:p>
            <w:pPr>
              <w:pStyle w:val="Compact"/>
              <w:jc w:val="left"/>
            </w:pPr>
            <w:r>
              <w:t xml:space="preserve">0.09%</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59.50</w:t>
            </w:r>
          </w:p>
        </w:tc>
        <w:tc>
          <w:tcPr/>
          <w:p>
            <w:pPr>
              <w:pStyle w:val="Compact"/>
              <w:jc w:val="left"/>
            </w:pPr>
            <w:r>
              <w:t xml:space="preserve">86.20%</w:t>
            </w:r>
          </w:p>
        </w:tc>
      </w:tr>
      <w:tr>
        <w:tc>
          <w:tcPr/>
          <w:p>
            <w:pPr>
              <w:pStyle w:val="Compact"/>
              <w:jc w:val="left"/>
            </w:pPr>
            <w:r>
              <w:t xml:space="preserve">End-of-Life (Disposal)</w:t>
            </w:r>
          </w:p>
        </w:tc>
        <w:tc>
          <w:tcPr/>
          <w:p>
            <w:pPr>
              <w:pStyle w:val="Compact"/>
              <w:jc w:val="left"/>
            </w:pPr>
            <w:r>
              <w:t xml:space="preserve">Scope 3 (Category 12)</w:t>
            </w:r>
          </w:p>
        </w:tc>
        <w:tc>
          <w:tcPr/>
          <w:p>
            <w:pPr>
              <w:pStyle w:val="Compact"/>
              <w:jc w:val="left"/>
            </w:pPr>
            <w:r>
              <w:t xml:space="preserve">0.01</w:t>
            </w:r>
          </w:p>
        </w:tc>
        <w:tc>
          <w:tcPr/>
          <w:p>
            <w:pPr>
              <w:pStyle w:val="Compact"/>
              <w:jc w:val="left"/>
            </w:pPr>
            <w:r>
              <w:t xml:space="preserve">0.02%</w:t>
            </w:r>
          </w:p>
        </w:tc>
      </w:tr>
      <w:tr>
        <w:tc>
          <w:tcPr>
            <w:gridSpan w:val="2"/>
          </w:tcPr>
          <w:p>
            <w:pPr>
              <w:pStyle w:val="Compact"/>
              <w:jc w:val="left"/>
            </w:pPr>
            <w:r>
              <w:rPr>
                <w:bCs/>
                <w:b/>
              </w:rPr>
              <w:t xml:space="preserve">Total Product Carbon Footprint</w:t>
            </w:r>
          </w:p>
        </w:tc>
        <w:tc>
          <w:tcPr/>
          <w:p>
            <w:pPr>
              <w:pStyle w:val="Compact"/>
              <w:jc w:val="left"/>
            </w:pPr>
            <w:r>
              <w:rPr>
                <w:bCs/>
                <w:b/>
              </w:rPr>
              <w:t xml:space="preserve">69.02</w:t>
            </w:r>
          </w:p>
        </w:tc>
        <w:tc>
          <w:tcPr/>
          <w:p>
            <w:pPr>
              <w:pStyle w:val="Compact"/>
              <w:jc w:val="left"/>
            </w:pPr>
            <w:r>
              <w:rPr>
                <w:bCs/>
                <w:b/>
              </w:rPr>
              <w:t xml:space="preserve">100.00%</w:t>
            </w:r>
          </w:p>
        </w:tc>
      </w:tr>
    </w:tbl>
    <w:p>
      <w:pPr>
        <w:pStyle w:val="BodyText"/>
      </w:pPr>
      <w:r>
        <w:t xml:space="preserve">5. Review &amp; Report</w:t>
      </w:r>
    </w:p>
    <w:bookmarkEnd w:id="35"/>
    <w:bookmarkStart w:id="36" w:name="hotspots-identification"/>
    <w:p>
      <w:pPr>
        <w:pStyle w:val="Heading3"/>
      </w:pPr>
      <w:r>
        <w:t xml:space="preserve">5.1 Hotspots Identification</w:t>
      </w:r>
    </w:p>
    <w:p>
      <w:pPr>
        <w:pStyle w:val="FirstParagraph"/>
      </w:pPr>
      <w:r>
        <w:t xml:space="preserve">The primary hotspot in the lifecycle of eutmofnkft is clearly identified as the</w:t>
      </w:r>
      <w:r>
        <w:t xml:space="preserve"> </w:t>
      </w:r>
      <w:r>
        <w:rPr>
          <w:bCs/>
          <w:b/>
        </w:rPr>
        <w:t xml:space="preserve">Use Phase</w:t>
      </w:r>
      <w:r>
        <w:t xml:space="preserve">, contributing approximately 86.20% of the total Product Carbon Footprint. This is largely due to the energy consumption over the product\'s 5-year lifespan. The manufacturing phase is the second largest contributor, followed by raw material acquisition. Transportation and end-of-life disposal contribute negligibly in comparison.</w:t>
      </w:r>
    </w:p>
    <w:bookmarkEnd w:id="36"/>
    <w:bookmarkStart w:id="39" w:name="X22bcc3ad5ce4df236a8e30da0056eb262dfb760"/>
    <w:p>
      <w:pPr>
        <w:pStyle w:val="Heading3"/>
      </w:pPr>
      <w:r>
        <w:t xml:space="preserve">5.2 Reliability Statement and 2026 GHG Protocol Updates</w:t>
      </w:r>
    </w:p>
    <w:p>
      <w:pPr>
        <w:pStyle w:val="FirstParagraph"/>
      </w:pPr>
      <w:r>
        <w:t xml:space="preserve">This analysis leverages specific primary data points provided (BOM, energy usage, lifespan, recyclability) and robust secondary emission factors from reputable sources (IEA, Climate Transparency, McKinnon) to ensure high detail and accuracy. Where specific primary data for certain sub-processes was unavailable, conservative industry-average emission factors were applied.</w:t>
      </w:r>
    </w:p>
    <w:bookmarkStart w:id="37" w:name="X936047ef67d37df6926f5306c8715e4e85e173d"/>
    <w:p>
      <w:pPr>
        <w:pStyle w:val="Heading4"/>
      </w:pPr>
      <w:r>
        <w:t xml:space="preserve">GHG Protocol 2026 Land Sector and Removals (LSR) Standard Update:</w:t>
      </w:r>
    </w:p>
    <w:p>
      <w:pPr>
        <w:pStyle w:val="FirstParagraph"/>
      </w:pPr>
      <w:r>
        <w:t xml:space="preserve">The GHG Protocol\'s Land Sector and Removals (LSR) Standard, published in January 2026 and effective January 1, 2027, provides crucial guidance for accounting for land sector emissions (e.g., land use change, land management, biogenic products) and CO2 removals, including technological removals. For eutmofnkft, direct land use change associated with its components (primarily metals, plastics, and electronics) is not identified as a primary driver of emissions within the scope of this product-level assessment. The cradle-to-gate emissions for raw materials, as provided in the BOM, implicitly cover the upstream impacts of material extraction. However, for a broader corporate GHG inventory (beyond this PCF), mozxxotsfg should assess if its supply chain activities or product components (e.g., any bio-based materials) necessitate detailed accounting under the LSR Standard.</w:t>
      </w:r>
    </w:p>
    <w:bookmarkEnd w:id="37"/>
    <w:bookmarkStart w:id="38" w:name="ghg-protocol-2026-scope-3-compliance"/>
    <w:p>
      <w:pPr>
        <w:pStyle w:val="Heading4"/>
      </w:pPr>
      <w:r>
        <w:t xml:space="preserve">GHG Protocol 2026 Scope 3 Compliance:</w:t>
      </w:r>
    </w:p>
    <w:p>
      <w:pPr>
        <w:pStyle w:val="FirstParagraph"/>
      </w:pPr>
      <w:r>
        <w:t xml:space="preserve">As per 2026 requirements, this report aimed for at least</w:t>
      </w:r>
      <w:r>
        <w:t xml:space="preserve"> </w:t>
      </w:r>
      <w:r>
        <w:rPr>
          <w:bCs/>
          <w:b/>
        </w:rPr>
        <w:t xml:space="preserve">95% coverage for Scope 3 reporting</w:t>
      </w:r>
      <w:r>
        <w:t xml:space="preserve">. By comprehensively including emissions from raw material acquisition, transportation (upstream and downstream), the use phase, and end-of-life treatment, this analysis accounts for all significant value chain emissions based on the provided data, thus fulfilling the 95% completeness rule for relevant Scope 3 emissions. The mandatory data disaggregation by source type has been implicitly followed by using detailed activity data and specific emission factors rather than broad spend-based estimates for the primary components and processes.</w:t>
      </w:r>
    </w:p>
    <w:bookmarkEnd w:id="38"/>
    <w:bookmarkEnd w:id="39"/>
    <w:bookmarkStart w:id="40" w:name="recommendations-for-emission-reduction"/>
    <w:p>
      <w:pPr>
        <w:pStyle w:val="Heading3"/>
      </w:pPr>
      <w:r>
        <w:t xml:space="preserve">5.3 Recommendations for Emission Reduction</w:t>
      </w:r>
    </w:p>
    <w:p>
      <w:pPr>
        <w:numPr>
          <w:ilvl w:val="0"/>
          <w:numId w:val="1013"/>
        </w:numPr>
        <w:pStyle w:val="Compact"/>
      </w:pPr>
      <w:r>
        <w:rPr>
          <w:bCs/>
          <w:b/>
        </w:rPr>
        <w:t xml:space="preserve">Focus on Use Phase Efficiency:</w:t>
      </w:r>
      <w:r>
        <w:t xml:space="preserve"> </w:t>
      </w:r>
      <w:r>
        <w:t xml:space="preserve">Given the dominance of the use phase, mozxxotsfg should prioritize strategies to reduce the product\'s energy consumption during its operational life. This could include:</w:t>
      </w:r>
    </w:p>
    <w:p>
      <w:pPr>
        <w:numPr>
          <w:ilvl w:val="1"/>
          <w:numId w:val="1014"/>
        </w:numPr>
        <w:pStyle w:val="Compact"/>
      </w:pPr>
      <w:r>
        <w:t xml:space="preserve">Optimizing power efficiency of components.</w:t>
      </w:r>
    </w:p>
    <w:p>
      <w:pPr>
        <w:numPr>
          <w:ilvl w:val="1"/>
          <w:numId w:val="1014"/>
        </w:numPr>
        <w:pStyle w:val="Compact"/>
      </w:pPr>
      <w:r>
        <w:t xml:space="preserve">Exploring software-based power saving modes.</w:t>
      </w:r>
    </w:p>
    <w:p>
      <w:pPr>
        <w:numPr>
          <w:ilvl w:val="1"/>
          <w:numId w:val="1014"/>
        </w:numPr>
        <w:pStyle w:val="Compact"/>
      </w:pPr>
      <w:r>
        <w:t xml:space="preserve">Educating users on energy-efficient usage.</w:t>
      </w:r>
    </w:p>
    <w:p>
      <w:pPr>
        <w:numPr>
          <w:ilvl w:val="0"/>
          <w:numId w:val="1013"/>
        </w:numPr>
        <w:pStyle w:val="Compact"/>
      </w:pPr>
      <w:r>
        <w:rPr>
          <w:bCs/>
          <w:b/>
        </w:rPr>
        <w:t xml:space="preserve">Renewable Energy Integration:</w:t>
      </w:r>
      <w:r>
        <w:t xml:space="preserve"> </w:t>
      </w:r>
      <w:r>
        <w:t xml:space="preserve">Increase the percentage of renewable energy used in the manufacturing facilities beyond the current 30% to further reduce Scope 2 emissions.</w:t>
      </w:r>
    </w:p>
    <w:p>
      <w:pPr>
        <w:numPr>
          <w:ilvl w:val="0"/>
          <w:numId w:val="1013"/>
        </w:numPr>
        <w:pStyle w:val="Compact"/>
      </w:pPr>
      <w:r>
        <w:rPr>
          <w:bCs/>
          <w:b/>
        </w:rPr>
        <w:t xml:space="preserve">Supply Chain Engagement:</w:t>
      </w:r>
      <w:r>
        <w:t xml:space="preserve"> </w:t>
      </w:r>
      <w:r>
        <w:t xml:space="preserve">Work with suppliers to explore lower-carbon materials and manufacturing processes for high-impact components like PCBs and aluminum, as these contribute significantly to raw material emissions.</w:t>
      </w:r>
    </w:p>
    <w:p>
      <w:pPr>
        <w:numPr>
          <w:ilvl w:val="0"/>
          <w:numId w:val="1013"/>
        </w:numPr>
        <w:pStyle w:val="Compact"/>
      </w:pPr>
      <w:r>
        <w:rPr>
          <w:bCs/>
          <w:b/>
        </w:rPr>
        <w:t xml:space="preserve">Enhance Circularity:</w:t>
      </w:r>
      <w:r>
        <w:t xml:space="preserve"> </w:t>
      </w:r>
      <w:r>
        <w:t xml:space="preserve">Capitalize on the 70% recyclability and local collection points. Investigate methods to increase post-consumer recycled content in new products and explore opportunities for product refurbishment or remanufacturing to extend lifespan.</w:t>
      </w:r>
    </w:p>
    <w:p>
      <w:r>
        <w:pict>
          <v:rect style="width:0;height:1.5pt" o:hralign="center" o:hrstd="t" o:hr="t"/>
        </w:pict>
      </w:r>
    </w:p>
    <w:p>
      <w:pPr>
        <w:pStyle w:val="FirstParagraph"/>
      </w:pPr>
      <w:r>
        <w:t xml:space="preserve">Confidential - Internal Use Only | Page</w:t>
      </w:r>
      <w:r>
        <w:t xml:space="preserve"> </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eutmofnkft</dc:title>
  <dc:creator/>
  <dc:description>High-detail Product Carbon Footprint (PCF) analysis for eutmofnkft, a product from mozxxotsfg, adhering to GHG Protocol standards and 2026 updates, conducted by Senior Sustainability Consultant kwuqilsxpf.</dc:description>
  <dc:language>en</dc:language>
  <cp:keywords/>
  <dcterms:created xsi:type="dcterms:W3CDTF">2026-05-30T16:45:47Z</dcterms:created>
  <dcterms:modified xsi:type="dcterms:W3CDTF">2026-05-30T16:45:47Z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