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euohwexgqk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xfuedktssd</w:t>
      </w:r>
    </w:p>
    <w:p>
      <w:pPr>
        <w:pStyle w:val="BodyText"/>
      </w:pPr>
      <w:r>
        <w:t xml:space="preserve">Product: euohwexgqk</w:t>
      </w:r>
    </w:p>
    <w:p>
      <w:pPr>
        <w:pStyle w:val="BodyText"/>
      </w:pPr>
      <w:r>
        <w:t xml:space="preserve">Accounting Standard: GHG Protocol</w:t>
      </w:r>
    </w:p>
    <w:p>
      <w:pPr>
        <w:pStyle w:val="BodyText"/>
      </w:pPr>
      <w:r>
        <w:t xml:space="preserve">Prepared by: vevjwxnqrg, Senior Sustainability Consultant</w:t>
      </w:r>
    </w:p>
    <w:p>
      <w:pPr>
        <w:pStyle w:val="BodyText"/>
      </w:pPr>
      <w:r>
        <w:t xml:space="preserve">Disclaimer: This report is generated based on available data and industry standards. The calculations presented are illustrative, using assumed values for specific parameters (e.g., BOM details, transport distances, energy consumption) where explicit real-world data was not provided. While adhering to established methodologies, actual emissions may vary with primary data.</w:t>
      </w:r>
    </w:p>
    <w:bookmarkEnd w:id="20"/>
    <w:bookmarkStart w:id="49" w:name="X439287615d106a2dfd74b1b631a62807b5903c8"/>
    <w:p>
      <w:pPr>
        <w:pStyle w:val="Heading1"/>
      </w:pPr>
      <w:r>
        <w:t xml:space="preserve">Product Carbon Footprint Analysis for euohwexgqk</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euohwexgqk, manufactured by xfuedktssd. The analysis was conducted by vevjwxnqrg, Senior Sustainability Consultant, adhering strictly to the Greenhouse Gas Protocol (GHG Protocol) standards. The aim is to quantify the greenhouse gas (GHG) emissions associated with euohwexgqk across its lifecycle, from raw material acquisition to end-of-life. This comprehensive assessment integrates specific material, energy, logistics, use phase, and end-of-life data, providing a robust foundation for identifying emission hotspots and informing targeted reduction strategies. The report also incorporates the latest GHG Protocol updates, including the 2026 Land Sector and Removals (LSR) Standard and stringent Scope 3 compliance requirements.</w:t>
      </w:r>
    </w:p>
    <w:p>
      <w:r>
        <w:pict>
          <v:rect style="width:0;height:1.5pt" o:hralign="center" o:hrstd="t" o:hr="t"/>
        </w:pict>
      </w:r>
    </w:p>
    <w:bookmarkEnd w:id="21"/>
    <w:bookmarkStart w:id="27" w:name="define-scope"/>
    <w:p>
      <w:pPr>
        <w:pStyle w:val="Heading2"/>
      </w:pPr>
      <w:r>
        <w:t xml:space="preserve">1. Define Scope</w:t>
      </w:r>
    </w:p>
    <w:p>
      <w:pPr>
        <w:pStyle w:val="FirstParagraph"/>
      </w:pPr>
      <w:r>
        <w:t xml:space="preserve">The initial step in any Product Carbon Footprint (PCF) analysis involves clearly defining the goal and scope to ensure consistency and relevance of the results.</w:t>
      </w:r>
    </w:p>
    <w:bookmarkStart w:id="22" w:name="functional-unit"/>
    <w:p>
      <w:pPr>
        <w:pStyle w:val="Heading3"/>
      </w:pPr>
      <w:r>
        <w:t xml:space="preserve">1.1. Functional Unit</w:t>
      </w:r>
    </w:p>
    <w:p>
      <w:pPr>
        <w:numPr>
          <w:ilvl w:val="0"/>
          <w:numId w:val="1001"/>
        </w:numPr>
        <w:pStyle w:val="Compact"/>
      </w:pPr>
      <w:r>
        <w:rPr>
          <w:bCs/>
          <w:b/>
        </w:rPr>
        <w:t xml:space="preserve">Product:</w:t>
      </w:r>
      <w:r>
        <w:t xml:space="preserve"> </w:t>
      </w:r>
      <w:r>
        <w:t xml:space="preserve">euohwexgqk</w:t>
      </w:r>
    </w:p>
    <w:p>
      <w:pPr>
        <w:numPr>
          <w:ilvl w:val="0"/>
          <w:numId w:val="1001"/>
        </w:numPr>
        <w:pStyle w:val="Compact"/>
      </w:pPr>
      <w:r>
        <w:rPr>
          <w:bCs/>
          <w:b/>
        </w:rPr>
        <w:t xml:space="preserve">Functional Unit:</w:t>
      </w:r>
      <w:r>
        <w:t xml:space="preserve"> </w:t>
      </w:r>
      <w:r>
        <w:t xml:space="preserve">1.0 unit. All emissions are quantified per single unit of euohwexgqk to provide a clear and comparable metric of its environmental impact.</w:t>
      </w:r>
    </w:p>
    <w:bookmarkEnd w:id="22"/>
    <w:bookmarkStart w:id="23" w:name="system-boundary"/>
    <w:p>
      <w:pPr>
        <w:pStyle w:val="Heading3"/>
      </w:pPr>
      <w:r>
        <w:t xml:space="preserve">1.2. System Boundary</w:t>
      </w:r>
    </w:p>
    <w:p>
      <w:pPr>
        <w:pStyle w:val="FirstParagraph"/>
      </w:pPr>
      <w:r>
        <w:t xml:space="preserve">The system boundary for this PCF analysis is defined as "Cradle-to-Grave." Although the parameter initially specified "factory_gate" (cradle-to-gate), a comprehensive PCF as requested by other parameters (Use Phase, End-of-Life) necessitates a broader "Cradle-to-Grave" approach, encompassing all stages from raw material extraction through manufacturing, distribution, product use, and ultimately, its end-of-life treatment. A cradle-to-gate PCF typically includes raw material extraction, manufacturing, inbound transportation, and packaging. However, for a holistic view and to meet all specified parameters, the analysis extends to cover the entire lifecycle.</w:t>
      </w:r>
    </w:p>
    <w:p>
      <w:pPr>
        <w:numPr>
          <w:ilvl w:val="0"/>
          <w:numId w:val="1002"/>
        </w:numPr>
        <w:pStyle w:val="Compact"/>
      </w:pPr>
      <w:r>
        <w:rPr>
          <w:bCs/>
          <w:b/>
        </w:rPr>
        <w:t xml:space="preserve">Included Stages:</w:t>
      </w:r>
    </w:p>
    <w:p>
      <w:pPr>
        <w:numPr>
          <w:ilvl w:val="1"/>
          <w:numId w:val="1003"/>
        </w:numPr>
        <w:pStyle w:val="Compact"/>
      </w:pPr>
      <w:r>
        <w:t xml:space="preserve">Raw Material Acquisition &amp; Pre-processing</w:t>
      </w:r>
    </w:p>
    <w:p>
      <w:pPr>
        <w:numPr>
          <w:ilvl w:val="1"/>
          <w:numId w:val="1003"/>
        </w:numPr>
        <w:pStyle w:val="Compact"/>
      </w:pPr>
      <w:r>
        <w:t xml:space="preserve">Manufacturing (Production)</w:t>
      </w:r>
    </w:p>
    <w:p>
      <w:pPr>
        <w:numPr>
          <w:ilvl w:val="1"/>
          <w:numId w:val="1003"/>
        </w:numPr>
        <w:pStyle w:val="Compact"/>
      </w:pPr>
      <w:r>
        <w:t xml:space="preserve">Transport &amp; Distribution (Upstream &amp; Downstream)</w:t>
      </w:r>
    </w:p>
    <w:p>
      <w:pPr>
        <w:numPr>
          <w:ilvl w:val="1"/>
          <w:numId w:val="1003"/>
        </w:numPr>
        <w:pStyle w:val="Compact"/>
      </w:pPr>
      <w:r>
        <w:t xml:space="preserve">Use Phase</w:t>
      </w:r>
    </w:p>
    <w:p>
      <w:pPr>
        <w:numPr>
          <w:ilvl w:val="1"/>
          <w:numId w:val="1003"/>
        </w:numPr>
        <w:pStyle w:val="Compact"/>
      </w:pPr>
      <w:r>
        <w:t xml:space="preserve">End-of-Life Treatment</w:t>
      </w:r>
    </w:p>
    <w:p>
      <w:pPr>
        <w:numPr>
          <w:ilvl w:val="0"/>
          <w:numId w:val="1002"/>
        </w:numPr>
        <w:pStyle w:val="Compact"/>
      </w:pPr>
      <w:r>
        <w:rPr>
          <w:bCs/>
          <w:b/>
        </w:rPr>
        <w:t xml:space="preserve">Excluded Stages:</w:t>
      </w:r>
      <w:r>
        <w:t xml:space="preserve"> </w:t>
      </w:r>
      <w:r>
        <w:t xml:space="preserve">Capital goods, employee commuting, business travel (these are typically considered in corporate footprints, but not product-specific PCF unless directly linked to product manufacturing processes).</w:t>
      </w:r>
    </w:p>
    <w:bookmarkEnd w:id="23"/>
    <w:bookmarkStart w:id="24"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This implies a significant portion of raw material sourcing or distribution network may be concentrated within or routed through Europe, with final product distribution also targeting European markets.</w:t>
      </w:r>
    </w:p>
    <w:bookmarkEnd w:id="24"/>
    <w:bookmarkStart w:id="25" w:name="accounting-standard"/>
    <w:p>
      <w:pPr>
        <w:pStyle w:val="Heading3"/>
      </w:pPr>
      <w:r>
        <w:t xml:space="preserve">1.4. Accounting Standard</w:t>
      </w:r>
    </w:p>
    <w:p>
      <w:pPr>
        <w:numPr>
          <w:ilvl w:val="0"/>
          <w:numId w:val="1005"/>
        </w:numPr>
        <w:pStyle w:val="Compact"/>
      </w:pPr>
      <w:r>
        <w:rPr>
          <w:bCs/>
          <w:b/>
        </w:rPr>
        <w:t xml:space="preserve">Standard:</w:t>
      </w:r>
      <w:r>
        <w:t xml:space="preserve"> </w:t>
      </w:r>
      <w:r>
        <w:t xml:space="preserve">GHG Protocol. This analysis adheres to the Greenhouse Gas Protocol\'s Product Life Cycle Accounting and Reporting Standard. This framework classifies emissions into Scope 1 (direct), Scope 2 (purchased energy), and Scope 3 (value chain) for transparent reporting.</w:t>
      </w:r>
    </w:p>
    <w:p>
      <w:pPr>
        <w:numPr>
          <w:ilvl w:val="0"/>
          <w:numId w:val="1005"/>
        </w:numPr>
        <w:pStyle w:val="Compact"/>
      </w:pPr>
      <w:r>
        <w:rPr>
          <w:bCs/>
          <w:b/>
        </w:rPr>
        <w:t xml:space="preserve">2026 LSR Update:</w:t>
      </w:r>
      <w:r>
        <w:t xml:space="preserve"> </w:t>
      </w:r>
      <w:r>
        <w:t xml:space="preserve">The GHG Protocol\'s Land Sector and Removals (LSR) Standard, released on January 30, 2026, and effective January 1, 2027, provides requirements and guidance for accounting for emissions and carbon removals from agricultural and land use activities. While euohwexgqk\'s direct components may not involve extensive land use, this standard\'s principles are considered for any relevant upstream agricultural or bio-based material impacts within the supply chain to ensure comprehensive reporting under the updated guidelines.</w:t>
      </w:r>
    </w:p>
    <w:p>
      <w:pPr>
        <w:numPr>
          <w:ilvl w:val="0"/>
          <w:numId w:val="1005"/>
        </w:numPr>
        <w:pStyle w:val="Compact"/>
      </w:pPr>
      <w:r>
        <w:rPr>
          <w:bCs/>
          <w:b/>
        </w:rPr>
        <w:t xml:space="preserve">Scope 3 Compliance:</w:t>
      </w:r>
      <w:r>
        <w:t xml:space="preserve"> </w:t>
      </w:r>
      <w:r>
        <w:t xml:space="preserve">As per the 2026 requirements, this report aims for at least 95% coverage for all relevant Scope 3 emissions. This ensures that the vast majority of indirect emissions across the value chain are quantified, moving away from selective disclosure and enhancing the completeness and credibility of the inventory.</w:t>
      </w:r>
    </w:p>
    <w:bookmarkEnd w:id="25"/>
    <w:bookmarkStart w:id="26" w:name="allocation"/>
    <w:p>
      <w:pPr>
        <w:pStyle w:val="Heading3"/>
      </w:pPr>
      <w:r>
        <w:t xml:space="preserve">1.5. Allocation</w:t>
      </w:r>
    </w:p>
    <w:p>
      <w:pPr>
        <w:pStyle w:val="FirstParagraph"/>
      </w:pPr>
      <w:r>
        <w:t xml:space="preserve">Where co-products or by-products are present (not explicitly detailed for euohwexgqk), allocation would primarily be based on physical causality (e.g., mass) or economic value, in line with GHG Protocol guidance, to attribute emissions appropriately to the functional unit.</w:t>
      </w:r>
    </w:p>
    <w:p>
      <w:r>
        <w:pict>
          <v:rect style="width:0;height:1.5pt" o:hralign="center" o:hrstd="t" o:hr="t"/>
        </w:pict>
      </w:r>
    </w:p>
    <w:bookmarkEnd w:id="26"/>
    <w:bookmarkEnd w:id="27"/>
    <w:bookmarkStart w:id="33" w:name="X9b3f95e3515408304ff4a9cec9842f2424d7a20"/>
    <w:p>
      <w:pPr>
        <w:pStyle w:val="Heading2"/>
      </w:pPr>
      <w:r>
        <w:t xml:space="preserve">2. Map Lifecycle (LCI Inventory Stages) &amp; 3. Collect Data (Primary/Secondary Data Points)</w:t>
      </w:r>
    </w:p>
    <w:p>
      <w:pPr>
        <w:pStyle w:val="FirstParagraph"/>
      </w:pPr>
      <w:r>
        <w:t xml:space="preserve">This section outlines the lifecycle stages of euohwexgqk and details the data points collected or assumed for the analysis.</w:t>
      </w:r>
      <w:r>
        <w:t xml:space="preserve"> </w:t>
      </w:r>
      <w:r>
        <w:t xml:space="preserve">The data provided as placeholders (e.g., `trllnsee`, `lhuxpgzfnm`) are replaced with illustrative, plausible values for demonstration purposes, clearly marked as assumptions.</w:t>
      </w:r>
    </w:p>
    <w:bookmarkStart w:id="28" w:name="X3338fd18249f9a3eb3c47c3cd6bc81e02c48275"/>
    <w:p>
      <w:pPr>
        <w:pStyle w:val="Heading3"/>
      </w:pPr>
      <w:r>
        <w:t xml:space="preserve">3.1. Raw Materials Acquisition &amp; Pre-processing (Scope 3, Category 1: Purchased goods and services)</w:t>
      </w:r>
    </w:p>
    <w:p>
      <w:pPr>
        <w:pStyle w:val="FirstParagraph"/>
      </w:pPr>
      <w:r>
        <w:t xml:space="preserve">The detailed Bill of Materials (BOM) for euohwexgqk is crucial for calculating the upstream emissions. For demonstration, we use a hypothetical BOM structure based on the format provided, with illustrative quantities and emission factors.</w:t>
      </w:r>
    </w:p>
    <w:p>
      <w:pPr>
        <w:pStyle w:val="BodyText"/>
      </w:pPr>
      <w:r>
        <w:rPr>
          <w:bCs/>
          <w:b/>
        </w:rPr>
        <w:t xml:space="preserve">Detailed Bill of Materials (Illustrative based on \'trllnsee\'):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3.2</w:t>
            </w:r>
          </w:p>
        </w:tc>
        <w:tc>
          <w:tcPr/>
          <w:p>
            <w:pPr>
              <w:pStyle w:val="Compact"/>
              <w:jc w:val="left"/>
            </w:pPr>
            <w:r>
              <w:t xml:space="preserve">2.56</w:t>
            </w:r>
          </w:p>
        </w:tc>
      </w:tr>
      <w:tr>
        <w:tc>
          <w:tcPr/>
          <w:p>
            <w:pPr>
              <w:pStyle w:val="Compact"/>
              <w:jc w:val="left"/>
            </w:pPr>
            <w:r>
              <w:t xml:space="preserve">102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8.5</w:t>
            </w:r>
          </w:p>
        </w:tc>
        <w:tc>
          <w:tcPr/>
          <w:p>
            <w:pPr>
              <w:pStyle w:val="Compact"/>
              <w:jc w:val="left"/>
            </w:pPr>
            <w:r>
              <w:t xml:space="preserve">2.55</w:t>
            </w:r>
          </w:p>
        </w:tc>
      </w:tr>
      <w:tr>
        <w:tc>
          <w:tcPr/>
          <w:p>
            <w:pPr>
              <w:pStyle w:val="Compact"/>
              <w:jc w:val="left"/>
            </w:pPr>
            <w:r>
              <w:t xml:space="preserve">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6.0</w:t>
            </w:r>
          </w:p>
        </w:tc>
        <w:tc>
          <w:tcPr/>
          <w:p>
            <w:pPr>
              <w:pStyle w:val="Compact"/>
              <w:jc w:val="left"/>
            </w:pPr>
            <w:r>
              <w:t xml:space="preserve">6.00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2.8</w:t>
            </w:r>
          </w:p>
        </w:tc>
        <w:tc>
          <w:tcPr/>
          <w:p>
            <w:pPr>
              <w:pStyle w:val="Compact"/>
              <w:jc w:val="left"/>
            </w:pPr>
            <w:r>
              <w:t xml:space="preserve">0.28</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0.6</w:t>
            </w:r>
          </w:p>
        </w:tc>
        <w:tc>
          <w:tcPr/>
          <w:p>
            <w:pPr>
              <w:pStyle w:val="Compact"/>
              <w:jc w:val="left"/>
            </w:pPr>
            <w:r>
              <w:t xml:space="preserve">0.09</w:t>
            </w:r>
          </w:p>
        </w:tc>
      </w:tr>
    </w:tbl>
    <w:p>
      <w:pPr>
        <w:pStyle w:val="BodyText"/>
      </w:pPr>
      <w:r>
        <w:rPr>
          <w:iCs/>
          <w:i/>
        </w:rPr>
        <w:t xml:space="preserve">Note: Emission Factors are illustrative, based on typical values from databases like Ecoinvent/DEFRA for these material categories.</w:t>
      </w:r>
    </w:p>
    <w:p>
      <w:pPr>
        <w:pStyle w:val="BodyText"/>
      </w:pPr>
      <w:r>
        <w:rPr>
          <w:bCs/>
          <w:b/>
        </w:rPr>
        <w:t xml:space="preserve">Total Product Weight (illustrative):</w:t>
      </w:r>
      <w:r>
        <w:t xml:space="preserve"> </w:t>
      </w:r>
      <w:r>
        <w:t xml:space="preserve">0.8 + 0.3 + 0.1 + 0.2 = 1.4 kg (excluding packaging). With packaging: 1.4 + 0.15 = 1.55 kg.</w:t>
      </w:r>
    </w:p>
    <w:bookmarkEnd w:id="28"/>
    <w:bookmarkStart w:id="29" w:name="production-phase-manufacturing-scope-1-2"/>
    <w:p>
      <w:pPr>
        <w:pStyle w:val="Heading3"/>
      </w:pPr>
      <w:r>
        <w:t xml:space="preserve">3.2. Production Phase (Manufacturing) (Scope 1 &amp; 2)</w:t>
      </w:r>
    </w:p>
    <w:p>
      <w:pPr>
        <w:pStyle w:val="FirstParagraph"/>
      </w:pPr>
      <w:r>
        <w:t xml:space="preserve">This stage covers the energy consumed during the manufacturing processes in China.</w:t>
      </w:r>
    </w:p>
    <w:p>
      <w:pPr>
        <w:numPr>
          <w:ilvl w:val="0"/>
          <w:numId w:val="1006"/>
        </w:numPr>
        <w:pStyle w:val="Compact"/>
      </w:pPr>
      <w:r>
        <w:rPr>
          <w:bCs/>
          <w:b/>
        </w:rPr>
        <w:t xml:space="preserve">Energy Intensity (kWh/unit):</w:t>
      </w:r>
      <w:r>
        <w:t xml:space="preserve"> </w:t>
      </w:r>
      <w:r>
        <w:rPr>
          <w:rStyle w:val="VerbatimChar"/>
        </w:rPr>
        <w:t xml:space="preserve">ljttepxinf</w:t>
      </w:r>
      <w:r>
        <w:t xml:space="preserve"> </w:t>
      </w:r>
      <w:r>
        <w:t xml:space="preserve">(Assumed: 10 kWh/unit)</w:t>
      </w:r>
    </w:p>
    <w:p>
      <w:pPr>
        <w:numPr>
          <w:ilvl w:val="0"/>
          <w:numId w:val="1006"/>
        </w:numPr>
        <w:pStyle w:val="Compact"/>
      </w:pPr>
      <w:r>
        <w:rPr>
          <w:bCs/>
          <w:b/>
        </w:rPr>
        <w:t xml:space="preserve">Renewable Energy Usage:</w:t>
      </w:r>
      <w:r>
        <w:t xml:space="preserve"> </w:t>
      </w:r>
      <w:r>
        <w:rPr>
          <w:rStyle w:val="VerbatimChar"/>
        </w:rPr>
        <w:t xml:space="preserve">oukyqkdmqv</w:t>
      </w:r>
      <w:r>
        <w:t xml:space="preserve"> </w:t>
      </w:r>
      <w:r>
        <w:t xml:space="preserve">(Assumed: 70% of energy consumed in production comes from renewable sources, meaning 30% from grid electricity).</w:t>
      </w:r>
    </w:p>
    <w:p>
      <w:pPr>
        <w:numPr>
          <w:ilvl w:val="0"/>
          <w:numId w:val="1006"/>
        </w:numPr>
        <w:pStyle w:val="Compact"/>
      </w:pPr>
      <w:r>
        <w:rPr>
          <w:bCs/>
          <w:b/>
        </w:rPr>
        <w:t xml:space="preserve">Grid Electricity Emission Factor (China, illustrative):</w:t>
      </w:r>
      <w:r>
        <w:t xml:space="preserve"> </w:t>
      </w:r>
      <w:r>
        <w:t xml:space="preserve">0.6 kgCO2e/kWh (based on typical national grid mixes).</w:t>
      </w:r>
    </w:p>
    <w:p>
      <w:pPr>
        <w:numPr>
          <w:ilvl w:val="0"/>
          <w:numId w:val="1006"/>
        </w:numPr>
        <w:pStyle w:val="Compact"/>
      </w:pPr>
      <w:r>
        <w:rPr>
          <w:bCs/>
          <w:b/>
        </w:rPr>
        <w:t xml:space="preserve">Renewable Electricity Emission Factor (illustrative):</w:t>
      </w:r>
      <w:r>
        <w:t xml:space="preserve"> </w:t>
      </w:r>
      <w:r>
        <w:t xml:space="preserve">0.05 kgCO2e/kWh (representing residual emissions from infrastructure, transmission, etc.).</w:t>
      </w:r>
    </w:p>
    <w:p>
      <w:pPr>
        <w:numPr>
          <w:ilvl w:val="0"/>
          <w:numId w:val="1006"/>
        </w:numPr>
        <w:pStyle w:val="Compact"/>
      </w:pPr>
      <w:r>
        <w:rPr>
          <w:bCs/>
          <w:b/>
        </w:rPr>
        <w:t xml:space="preserve">Scope 1 Emissions:</w:t>
      </w:r>
      <w:r>
        <w:t xml:space="preserve"> </w:t>
      </w:r>
      <w:r>
        <w:t xml:space="preserve">No direct fuel combustion on-site is assumed for this product\'s manufacturing process. If present, it would be quantified here.</w:t>
      </w:r>
    </w:p>
    <w:bookmarkEnd w:id="29"/>
    <w:bookmarkStart w:id="30" w:name="X2e49af246a85eba4af0f34b9ff937740701d65d"/>
    <w:p>
      <w:pPr>
        <w:pStyle w:val="Heading3"/>
      </w:pPr>
      <w:r>
        <w:t xml:space="preserve">3.3. Transport &amp; Distribution (Scope 3, Categories 4: Upstream transportation and distribution &amp; 9: Downstream transportation and distribution)</w:t>
      </w:r>
    </w:p>
    <w:p>
      <w:pPr>
        <w:pStyle w:val="FirstParagraph"/>
      </w:pPr>
      <w:r>
        <w:t xml:space="preserve">This section accounts for the emissions from transporting raw materials and the finished product.</w:t>
      </w:r>
    </w:p>
    <w:p>
      <w:pPr>
        <w:numPr>
          <w:ilvl w:val="0"/>
          <w:numId w:val="1007"/>
        </w:numPr>
        <w:pStyle w:val="Compact"/>
      </w:pPr>
      <w:r>
        <w:rPr>
          <w:bCs/>
          <w:b/>
        </w:rPr>
        <w:t xml:space="preserve">Product Weight for Transport:</w:t>
      </w:r>
      <w:r>
        <w:t xml:space="preserve"> </w:t>
      </w:r>
      <w:r>
        <w:t xml:space="preserve">1.55 kg (including packaging).</w:t>
      </w:r>
    </w:p>
    <w:p>
      <w:pPr>
        <w:numPr>
          <w:ilvl w:val="0"/>
          <w:numId w:val="1007"/>
        </w:numPr>
        <w:pStyle w:val="Compact"/>
      </w:pPr>
      <w:r>
        <w:rPr>
          <w:bCs/>
          <w:b/>
        </w:rPr>
        <w:t xml:space="preserve">Upstream Transport (China to Europe):</w:t>
      </w:r>
    </w:p>
    <w:p>
      <w:pPr>
        <w:numPr>
          <w:ilvl w:val="1"/>
          <w:numId w:val="1008"/>
        </w:numPr>
        <w:pStyle w:val="Compact"/>
      </w:pPr>
      <w:r>
        <w:rPr>
          <w:bCs/>
          <w:b/>
        </w:rPr>
        <w:t xml:space="preserve">Transport Mode:</w:t>
      </w:r>
      <w:r>
        <w:t xml:space="preserve"> </w:t>
      </w:r>
      <w:r>
        <w:rPr>
          <w:rStyle w:val="VerbatimChar"/>
        </w:rPr>
        <w:t xml:space="preserve">Select Mode</w:t>
      </w:r>
      <w:r>
        <w:t xml:space="preserve"> </w:t>
      </w:r>
      <w:r>
        <w:t xml:space="preserve">(Assumed: Road freight, HGV &gt; 16t, Euro VI).</w:t>
      </w:r>
    </w:p>
    <w:p>
      <w:pPr>
        <w:numPr>
          <w:ilvl w:val="1"/>
          <w:numId w:val="1008"/>
        </w:numPr>
        <w:pStyle w:val="Compact"/>
      </w:pPr>
      <w:r>
        <w:rPr>
          <w:bCs/>
          <w:b/>
        </w:rPr>
        <w:t xml:space="preserve">Transport Distance:</w:t>
      </w:r>
      <w:r>
        <w:t xml:space="preserve"> </w:t>
      </w:r>
      <w:r>
        <w:rPr>
          <w:rStyle w:val="VerbatimChar"/>
        </w:rPr>
        <w:t xml:space="preserve">lhuxpgzfnm</w:t>
      </w:r>
      <w:r>
        <w:t xml:space="preserve"> </w:t>
      </w:r>
      <w:r>
        <w:t xml:space="preserve">(Assumed: 2000 km, representing transport from manufacturing facility/port in China to a distribution hub in Europe).</w:t>
      </w:r>
    </w:p>
    <w:p>
      <w:pPr>
        <w:numPr>
          <w:ilvl w:val="1"/>
          <w:numId w:val="1008"/>
        </w:numPr>
        <w:pStyle w:val="Compact"/>
      </w:pPr>
      <w:r>
        <w:rPr>
          <w:bCs/>
          <w:b/>
        </w:rPr>
        <w:t xml:space="preserve">Emission Factor (Road freight, HGV &gt; 16t, Euro VI, illustrative):</w:t>
      </w:r>
      <w:r>
        <w:t xml:space="preserve"> </w:t>
      </w:r>
      <w:r>
        <w:t xml:space="preserve">0.08 kgCO2e/tonne-km.</w:t>
      </w:r>
    </w:p>
    <w:p>
      <w:pPr>
        <w:numPr>
          <w:ilvl w:val="0"/>
          <w:numId w:val="1007"/>
        </w:numPr>
        <w:pStyle w:val="Compact"/>
      </w:pPr>
      <w:r>
        <w:rPr>
          <w:bCs/>
          <w:b/>
        </w:rPr>
        <w:t xml:space="preserve">Last-Mile Delivery (within Europe):</w:t>
      </w:r>
    </w:p>
    <w:p>
      <w:pPr>
        <w:numPr>
          <w:ilvl w:val="1"/>
          <w:numId w:val="1009"/>
        </w:numPr>
        <w:pStyle w:val="Compact"/>
      </w:pPr>
      <w:r>
        <w:rPr>
          <w:bCs/>
          <w:b/>
        </w:rPr>
        <w:t xml:space="preserve">Last-Mile Delivery Channel:</w:t>
      </w:r>
      <w:r>
        <w:t xml:space="preserve"> </w:t>
      </w:r>
      <w:r>
        <w:rPr>
          <w:rStyle w:val="VerbatimChar"/>
        </w:rPr>
        <w:t xml:space="preserve">Delivery Type</w:t>
      </w:r>
      <w:r>
        <w:t xml:space="preserve"> </w:t>
      </w:r>
      <w:r>
        <w:t xml:space="preserve">(Assumed: Light Commercial Vehicle - LCV).</w:t>
      </w:r>
    </w:p>
    <w:p>
      <w:pPr>
        <w:numPr>
          <w:ilvl w:val="1"/>
          <w:numId w:val="1009"/>
        </w:numPr>
        <w:pStyle w:val="Compact"/>
      </w:pPr>
      <w:r>
        <w:rPr>
          <w:bCs/>
          <w:b/>
        </w:rPr>
        <w:t xml:space="preserve">Transport Distance (illustrative):</w:t>
      </w:r>
      <w:r>
        <w:t xml:space="preserve"> </w:t>
      </w:r>
      <w:r>
        <w:t xml:space="preserve">100 km (average for last-mile delivery).</w:t>
      </w:r>
    </w:p>
    <w:p>
      <w:pPr>
        <w:numPr>
          <w:ilvl w:val="1"/>
          <w:numId w:val="1009"/>
        </w:numPr>
        <w:pStyle w:val="Compact"/>
      </w:pPr>
      <w:r>
        <w:rPr>
          <w:bCs/>
          <w:b/>
        </w:rPr>
        <w:t xml:space="preserve">Emission Factor (LCV, illustrative):</w:t>
      </w:r>
      <w:r>
        <w:t xml:space="preserve"> </w:t>
      </w:r>
      <w:r>
        <w:t xml:space="preserve">0.20 kgCO2e/tonne-km.</w:t>
      </w:r>
    </w:p>
    <w:bookmarkEnd w:id="30"/>
    <w:bookmarkStart w:id="31" w:name="Xc8d47610e025d3b1fe367d676386ecee874efa3"/>
    <w:p>
      <w:pPr>
        <w:pStyle w:val="Heading3"/>
      </w:pPr>
      <w:r>
        <w:t xml:space="preserve">3.4. Use Phase (Scope 3, Category 11: Use of sold products)</w:t>
      </w:r>
    </w:p>
    <w:p>
      <w:pPr>
        <w:pStyle w:val="FirstParagraph"/>
      </w:pPr>
      <w:r>
        <w:t xml:space="preserve">Emissions generated during the product\'s active use by the consumer.</w:t>
      </w:r>
    </w:p>
    <w:p>
      <w:pPr>
        <w:numPr>
          <w:ilvl w:val="0"/>
          <w:numId w:val="1010"/>
        </w:numPr>
        <w:pStyle w:val="Compact"/>
      </w:pPr>
      <w:r>
        <w:rPr>
          <w:bCs/>
          <w:b/>
        </w:rPr>
        <w:t xml:space="preserve">Product Lifespan:</w:t>
      </w:r>
      <w:r>
        <w:t xml:space="preserve"> </w:t>
      </w:r>
      <w:r>
        <w:rPr>
          <w:rStyle w:val="VerbatimChar"/>
        </w:rPr>
        <w:t xml:space="preserve">vmenzkwrum</w:t>
      </w:r>
      <w:r>
        <w:t xml:space="preserve"> </w:t>
      </w:r>
      <w:r>
        <w:t xml:space="preserve">(Assumed: 5 years).</w:t>
      </w:r>
    </w:p>
    <w:p>
      <w:pPr>
        <w:numPr>
          <w:ilvl w:val="0"/>
          <w:numId w:val="1010"/>
        </w:numPr>
        <w:pStyle w:val="Compact"/>
      </w:pPr>
      <w:r>
        <w:rPr>
          <w:bCs/>
          <w:b/>
        </w:rPr>
        <w:t xml:space="preserve">Energy Consumption in Use:</w:t>
      </w:r>
      <w:r>
        <w:t xml:space="preserve"> </w:t>
      </w:r>
      <w:r>
        <w:rPr>
          <w:rStyle w:val="VerbatimChar"/>
        </w:rPr>
        <w:t xml:space="preserve">dpqrzhxdrh</w:t>
      </w:r>
      <w:r>
        <w:t xml:space="preserve"> </w:t>
      </w:r>
      <w:r>
        <w:t xml:space="preserve">(Assumed: 5 kWh/year).</w:t>
      </w:r>
    </w:p>
    <w:p>
      <w:pPr>
        <w:numPr>
          <w:ilvl w:val="0"/>
          <w:numId w:val="1010"/>
        </w:numPr>
        <w:pStyle w:val="Compact"/>
      </w:pPr>
      <w:r>
        <w:rPr>
          <w:bCs/>
          <w:b/>
        </w:rPr>
        <w:t xml:space="preserve">Electricity Grid Emission Factor (Europe average, illustrative):</w:t>
      </w:r>
      <w:r>
        <w:t xml:space="preserve"> </w:t>
      </w:r>
      <w:r>
        <w:t xml:space="preserve">0.3 kgCO2e/kWh (this can vary significantly by country).</w:t>
      </w:r>
    </w:p>
    <w:p>
      <w:pPr>
        <w:numPr>
          <w:ilvl w:val="0"/>
          <w:numId w:val="1010"/>
        </w:numPr>
        <w:pStyle w:val="Compact"/>
      </w:pPr>
      <w:r>
        <w:rPr>
          <w:bCs/>
          <w:b/>
        </w:rPr>
        <w:t xml:space="preserve">Note on 2026 GHG Protocol Revision:</w:t>
      </w:r>
      <w:r>
        <w:t xml:space="preserve"> </w:t>
      </w:r>
      <w:r>
        <w:t xml:space="preserve">The 2026 GHG Protocol Scope 3 revisions propose a shift from "Lifetime Accounting" to an annualized stock-based model for Category 11 (Use of Sold Products). While the total lifetime emissions are calculated here, this could be annualized for reporting under the revised standard.</w:t>
      </w:r>
    </w:p>
    <w:bookmarkEnd w:id="31"/>
    <w:bookmarkStart w:id="32" w:name="X9982929b618de862c11111658ccce8db3e98553"/>
    <w:p>
      <w:pPr>
        <w:pStyle w:val="Heading3"/>
      </w:pPr>
      <w:r>
        <w:t xml:space="preserve">3.5. End-of-Life (EoL) (Scope 3, Category 12: End-of-life treatment of sold products)</w:t>
      </w:r>
    </w:p>
    <w:p>
      <w:pPr>
        <w:pStyle w:val="FirstParagraph"/>
      </w:pPr>
      <w:r>
        <w:t xml:space="preserve">Emissions or avoided emissions related to the disposal or recycling of euohwexgqk.</w:t>
      </w:r>
    </w:p>
    <w:p>
      <w:pPr>
        <w:numPr>
          <w:ilvl w:val="0"/>
          <w:numId w:val="1011"/>
        </w:numPr>
        <w:pStyle w:val="Compact"/>
      </w:pPr>
      <w:r>
        <w:rPr>
          <w:bCs/>
          <w:b/>
        </w:rPr>
        <w:t xml:space="preserve">Recyclability Percentage:</w:t>
      </w:r>
      <w:r>
        <w:t xml:space="preserve"> </w:t>
      </w:r>
      <w:r>
        <w:rPr>
          <w:rStyle w:val="VerbatimChar"/>
        </w:rPr>
        <w:t xml:space="preserve">ddxfoiougu</w:t>
      </w:r>
      <w:r>
        <w:t xml:space="preserve"> </w:t>
      </w:r>
      <w:r>
        <w:t xml:space="preserve">(Assumed: 80% of the product and packaging by mass is recyclable).</w:t>
      </w:r>
    </w:p>
    <w:p>
      <w:pPr>
        <w:numPr>
          <w:ilvl w:val="0"/>
          <w:numId w:val="1011"/>
        </w:numPr>
        <w:pStyle w:val="Compact"/>
      </w:pPr>
      <w:r>
        <w:rPr>
          <w:bCs/>
          <w:b/>
        </w:rPr>
        <w:t xml:space="preserve">Circular/Take-back Programs:</w:t>
      </w:r>
      <w:r>
        <w:t xml:space="preserve"> </w:t>
      </w:r>
      <w:r>
        <w:rPr>
          <w:rStyle w:val="VerbatimChar"/>
        </w:rPr>
        <w:t xml:space="preserve">qydtisxnwl</w:t>
      </w:r>
      <w:r>
        <w:t xml:space="preserve"> </w:t>
      </w:r>
      <w:r>
        <w:t xml:space="preserve">(Assumed: Yes, xfuedktssd operates take-back programs for electronic components and packaging, facilitating high recycling rates).</w:t>
      </w:r>
    </w:p>
    <w:p>
      <w:pPr>
        <w:numPr>
          <w:ilvl w:val="0"/>
          <w:numId w:val="1011"/>
        </w:numPr>
        <w:pStyle w:val="Compact"/>
      </w:pPr>
      <w:r>
        <w:rPr>
          <w:bCs/>
          <w:b/>
        </w:rPr>
        <w:t xml:space="preserve">Emissions from Landfilling (illustrative):</w:t>
      </w:r>
      <w:r>
        <w:t xml:space="preserve"> </w:t>
      </w:r>
      <w:r>
        <w:t xml:space="preserve">0.5 kgCO2e/kg for non-recycled waste.</w:t>
      </w:r>
    </w:p>
    <w:p>
      <w:pPr>
        <w:numPr>
          <w:ilvl w:val="0"/>
          <w:numId w:val="1011"/>
        </w:numPr>
        <w:pStyle w:val="Compact"/>
      </w:pPr>
      <w:r>
        <w:rPr>
          <w:bCs/>
          <w:b/>
        </w:rPr>
        <w:t xml:space="preserve">Recycling Benefit/Avoided Emissions (illustrative):</w:t>
      </w:r>
      <w:r>
        <w:t xml:space="preserve"> </w:t>
      </w:r>
      <w:r>
        <w:t xml:space="preserve">-1.0 kgCO2e/kg for recycled materials (representing avoided virgin material production).</w:t>
      </w:r>
    </w:p>
    <w:p>
      <w:r>
        <w:pict>
          <v:rect style="width:0;height:1.5pt" o:hralign="center" o:hrstd="t" o:hr="t"/>
        </w:pict>
      </w:r>
    </w:p>
    <w:bookmarkEnd w:id="32"/>
    <w:bookmarkEnd w:id="33"/>
    <w:bookmarkStart w:id="41" w:name="calculate-emissions"/>
    <w:p>
      <w:pPr>
        <w:pStyle w:val="Heading2"/>
      </w:pPr>
      <w:r>
        <w:t xml:space="preserve">4. Calculate Emissions</w:t>
      </w:r>
    </w:p>
    <w:p>
      <w:pPr>
        <w:pStyle w:val="FirstParagraph"/>
      </w:pPr>
      <w:r>
        <w:t xml:space="preserve">Emissions are calculated using the formula:</w:t>
      </w:r>
      <w:r>
        <w:t xml:space="preserve"> </w:t>
      </w:r>
      <w:r>
        <w:rPr>
          <w:bCs/>
          <w:b/>
        </w:rPr>
        <w:t xml:space="preserve">Activity Data × Emission Factor = CO2e</w:t>
      </w:r>
      <w:r>
        <w:t xml:space="preserve">. Industry-standard emission factors (e.g., from Ecoinvent and DEFRA) are applied, using illustrative values where specific data was not provided. Ecoinvent offers extensive life cycle inventory data, including regional energy mixes and environmental impacts, useful for detailed product assessments. DEFRA provides specific emission factors, particularly for transport.</w:t>
      </w:r>
    </w:p>
    <w:bookmarkStart w:id="39" w:name="X2f9e4ba71c6053cf16bdd9f3fc32c93b8a596ed"/>
    <w:p>
      <w:pPr>
        <w:pStyle w:val="Heading3"/>
      </w:pPr>
      <w:r>
        <w:t xml:space="preserve">4.1. Detailed Emission Calculations by Lifecycle Stage</w:t>
      </w:r>
    </w:p>
    <w:bookmarkStart w:id="34" w:name="Xa4003511f4a34f360e70bdb7a5dca4328d1ee16"/>
    <w:p>
      <w:pPr>
        <w:pStyle w:val="Heading4"/>
      </w:pPr>
      <w:r>
        <w:t xml:space="preserve">4.1.1. Raw Materials Acquisition &amp; Pre-processing (Scope 3, Category 1)</w:t>
      </w:r>
    </w:p>
    <w:p>
      <w:pPr>
        <w:pStyle w:val="FirstParagraph"/>
      </w:pPr>
      <w:r>
        <w:t xml:space="preserve">Summing the \'Total Carbon\' from the illustrative BOM:</w:t>
      </w:r>
    </w:p>
    <w:p>
      <w:pPr>
        <w:pStyle w:val="BodyText"/>
      </w:pPr>
      <w:r>
        <w:t xml:space="preserve">Total Raw Materials Emissions = 2.56 kgCO2e (ABS Plastic) + 2.55 kgCO2e (Aluminum) + 6.00 kgCO2e (PCB) + 0.28 kgCO2e (Copper) + 2.40 kgCO2e (Battery) + 0.09 kgCO2e (Packaging)</w:t>
      </w:r>
      <w:r>
        <w:br/>
      </w:r>
      <w:r>
        <w:rPr>
          <w:bCs/>
          <w:b/>
        </w:rPr>
        <w:t xml:space="preserve">Total Raw Materials Emissions = 13.88 kgCO2e</w:t>
      </w:r>
    </w:p>
    <w:bookmarkEnd w:id="34"/>
    <w:bookmarkStart w:id="35" w:name="production-phase-manufacturing-scope-2"/>
    <w:p>
      <w:pPr>
        <w:pStyle w:val="Heading4"/>
      </w:pPr>
      <w:r>
        <w:t xml:space="preserve">4.1.2. Production Phase (Manufacturing) (Scope 2)</w:t>
      </w:r>
    </w:p>
    <w:p>
      <w:pPr>
        <w:pStyle w:val="FirstParagraph"/>
      </w:pPr>
      <w:r>
        <w:t xml:space="preserve">Energy Intensity: 10 kWh/unit</w:t>
      </w:r>
      <w:r>
        <w:br/>
      </w:r>
      <w:r>
        <w:t xml:space="preserve">Renewable Energy Usage: 70% (0.7)</w:t>
      </w:r>
      <w:r>
        <w:br/>
      </w:r>
      <w:r>
        <w:t xml:space="preserve">Grid Electricity EF (China): 0.6 kgCO2e/kWh</w:t>
      </w:r>
      <w:r>
        <w:br/>
      </w:r>
      <w:r>
        <w:t xml:space="preserve">Renewable Electricity EF: 0.05 kgCO2e/kWh</w:t>
      </w:r>
    </w:p>
    <w:p>
      <w:pPr>
        <w:pStyle w:val="BodyText"/>
      </w:pPr>
      <w:r>
        <w:t xml:space="preserve">Grid Electricity Consumption = 10 kWh/unit * (1 - 0.70) = 3 kWh/unit</w:t>
      </w:r>
      <w:r>
        <w:br/>
      </w:r>
      <w:r>
        <w:t xml:space="preserve">Renewable Electricity Consumption = 10 kWh/unit * 0.70 = 7 kWh/unit</w:t>
      </w:r>
    </w:p>
    <w:p>
      <w:pPr>
        <w:pStyle w:val="BodyText"/>
      </w:pPr>
      <w:r>
        <w:t xml:space="preserve">Grid Electricity Emissions = 3 kWh/unit * 0.6 kgCO2e/kWh = 1.80 kgCO2e</w:t>
      </w:r>
      <w:r>
        <w:br/>
      </w:r>
      <w:r>
        <w:t xml:space="preserve">Renewable Electricity Emissions = 7 kWh/unit * 0.05 kgCO2e/kWh = 0.35 kgCO2e</w:t>
      </w:r>
    </w:p>
    <w:p>
      <w:pPr>
        <w:pStyle w:val="BodyText"/>
      </w:pPr>
      <w:r>
        <w:rPr>
          <w:bCs/>
          <w:b/>
        </w:rPr>
        <w:t xml:space="preserve">Total Production Emissions = 1.80 kgCO2e + 0.35 kgCO2e = 2.15 kgCO2e</w:t>
      </w:r>
    </w:p>
    <w:bookmarkEnd w:id="35"/>
    <w:bookmarkStart w:id="36" w:name="X34e6f8770e45a313fbf3f00696a2b980007d036"/>
    <w:p>
      <w:pPr>
        <w:pStyle w:val="Heading4"/>
      </w:pPr>
      <w:r>
        <w:t xml:space="preserve">4.1.3. Transport &amp; Distribution (Scope 3, Categories 4 &amp; 9)</w:t>
      </w:r>
    </w:p>
    <w:p>
      <w:pPr>
        <w:pStyle w:val="FirstParagraph"/>
      </w:pPr>
      <w:r>
        <w:t xml:space="preserve">Product Weight for Transport: 1.55 kg = 0.00155 tonnes</w:t>
      </w:r>
    </w:p>
    <w:p>
      <w:pPr>
        <w:numPr>
          <w:ilvl w:val="0"/>
          <w:numId w:val="1012"/>
        </w:numPr>
        <w:pStyle w:val="Compact"/>
      </w:pPr>
      <w:r>
        <w:rPr>
          <w:bCs/>
          <w:b/>
        </w:rPr>
        <w:t xml:space="preserve">Upstream Transport (China to Europe):</w:t>
      </w:r>
    </w:p>
    <w:p>
      <w:pPr>
        <w:numPr>
          <w:ilvl w:val="1"/>
          <w:numId w:val="1013"/>
        </w:numPr>
        <w:pStyle w:val="Compact"/>
      </w:pPr>
      <w:r>
        <w:t xml:space="preserve">Distance: 2000 km</w:t>
      </w:r>
    </w:p>
    <w:p>
      <w:pPr>
        <w:numPr>
          <w:ilvl w:val="1"/>
          <w:numId w:val="1013"/>
        </w:numPr>
        <w:pStyle w:val="Compact"/>
      </w:pPr>
      <w:r>
        <w:t xml:space="preserve">EF (Road freight, HGV &gt; 16t): 0.08 kgCO2e/tonne-km</w:t>
      </w:r>
    </w:p>
    <w:p>
      <w:pPr>
        <w:numPr>
          <w:ilvl w:val="1"/>
          <w:numId w:val="1013"/>
        </w:numPr>
        <w:pStyle w:val="Compact"/>
      </w:pPr>
      <w:r>
        <w:t xml:space="preserve">Emissions = 0.00155 tonnes * 2000 km * 0.08 kgCO2e/tonne-km = 0.248 kgCO2e</w:t>
      </w:r>
    </w:p>
    <w:p>
      <w:pPr>
        <w:numPr>
          <w:ilvl w:val="0"/>
          <w:numId w:val="1012"/>
        </w:numPr>
        <w:pStyle w:val="Compact"/>
      </w:pPr>
      <w:r>
        <w:rPr>
          <w:bCs/>
          <w:b/>
        </w:rPr>
        <w:t xml:space="preserve">Last-Mile Delivery (within Europe):</w:t>
      </w:r>
    </w:p>
    <w:p>
      <w:pPr>
        <w:numPr>
          <w:ilvl w:val="1"/>
          <w:numId w:val="1014"/>
        </w:numPr>
        <w:pStyle w:val="Compact"/>
      </w:pPr>
      <w:r>
        <w:t xml:space="preserve">Distance: 100 km</w:t>
      </w:r>
    </w:p>
    <w:p>
      <w:pPr>
        <w:numPr>
          <w:ilvl w:val="1"/>
          <w:numId w:val="1014"/>
        </w:numPr>
        <w:pStyle w:val="Compact"/>
      </w:pPr>
      <w:r>
        <w:t xml:space="preserve">EF (LCV): 0.20 kgCO2e/tonne-km</w:t>
      </w:r>
    </w:p>
    <w:p>
      <w:pPr>
        <w:numPr>
          <w:ilvl w:val="1"/>
          <w:numId w:val="1014"/>
        </w:numPr>
        <w:pStyle w:val="Compact"/>
      </w:pPr>
      <w:r>
        <w:t xml:space="preserve">Emissions = 0.00155 tonnes * 100 km * 0.20 kgCO2e/tonne-km = 0.031 kgCO2e</w:t>
      </w:r>
    </w:p>
    <w:p>
      <w:pPr>
        <w:pStyle w:val="FirstParagraph"/>
      </w:pPr>
      <w:r>
        <w:rPr>
          <w:bCs/>
          <w:b/>
        </w:rPr>
        <w:t xml:space="preserve">Total Transport Emissions = 0.248 kgCO2e + 0.031 kgCO2e = 0.279 kgCO2e</w:t>
      </w:r>
    </w:p>
    <w:bookmarkEnd w:id="36"/>
    <w:bookmarkStart w:id="37" w:name="use-phase-scope-3-category-11"/>
    <w:p>
      <w:pPr>
        <w:pStyle w:val="Heading4"/>
      </w:pPr>
      <w:r>
        <w:t xml:space="preserve">4.1.4. Use Phase (Scope 3, Category 11)</w:t>
      </w:r>
    </w:p>
    <w:p>
      <w:pPr>
        <w:pStyle w:val="FirstParagraph"/>
      </w:pPr>
      <w:r>
        <w:t xml:space="preserve">Product Lifespan: 5 years</w:t>
      </w:r>
      <w:r>
        <w:br/>
      </w:r>
      <w:r>
        <w:t xml:space="preserve">Energy Consumption in Use: 5 kWh/year</w:t>
      </w:r>
      <w:r>
        <w:br/>
      </w:r>
      <w:r>
        <w:t xml:space="preserve">Electricity Grid EF (Europe): 0.3 kgCO2e/kWh</w:t>
      </w:r>
    </w:p>
    <w:p>
      <w:pPr>
        <w:pStyle w:val="BodyText"/>
      </w:pPr>
      <w:r>
        <w:t xml:space="preserve">Total Energy Consumption in Use = 5 kWh/year * 5 years = 25 kWh</w:t>
      </w:r>
      <w:r>
        <w:br/>
      </w:r>
      <w:r>
        <w:t xml:space="preserve">Emissions = 25 kWh * 0.3 kgCO2e/kWh = 7.50 kgCO2e</w:t>
      </w:r>
    </w:p>
    <w:p>
      <w:pPr>
        <w:pStyle w:val="BodyText"/>
      </w:pPr>
      <w:r>
        <w:rPr>
          <w:bCs/>
          <w:b/>
        </w:rPr>
        <w:t xml:space="preserve">Total Use Phase Emissions = 7.50 kgCO2e</w:t>
      </w:r>
    </w:p>
    <w:bookmarkEnd w:id="37"/>
    <w:bookmarkStart w:id="38" w:name="end-of-life-eol-scope-3-category-12"/>
    <w:p>
      <w:pPr>
        <w:pStyle w:val="Heading4"/>
      </w:pPr>
      <w:r>
        <w:t xml:space="preserve">4.1.5. End-of-Life (EoL) (Scope 3, Category 12)</w:t>
      </w:r>
    </w:p>
    <w:p>
      <w:pPr>
        <w:pStyle w:val="FirstParagraph"/>
      </w:pPr>
      <w:r>
        <w:t xml:space="preserve">Product Weight for EoL: 1.55 kg</w:t>
      </w:r>
      <w:r>
        <w:br/>
      </w:r>
      <w:r>
        <w:t xml:space="preserve">Recyclability Percentage: 80% (0.8)</w:t>
      </w:r>
      <w:r>
        <w:br/>
      </w:r>
      <w:r>
        <w:t xml:space="preserve">Landfill Percentage: 20% (0.2)</w:t>
      </w:r>
      <w:r>
        <w:br/>
      </w:r>
      <w:r>
        <w:t xml:space="preserve">Landfill EF: 0.5 kgCO2e/kg</w:t>
      </w:r>
      <w:r>
        <w:br/>
      </w:r>
      <w:r>
        <w:t xml:space="preserve">Recycling Benefit Factor: -1.0 kgCO2e/kg</w:t>
      </w:r>
    </w:p>
    <w:p>
      <w:pPr>
        <w:pStyle w:val="BodyText"/>
      </w:pPr>
      <w:r>
        <w:t xml:space="preserve">Weight to Landfill = 1.55 kg * 0.20 = 0.31 kg</w:t>
      </w:r>
      <w:r>
        <w:br/>
      </w:r>
      <w:r>
        <w:t xml:space="preserve">Weight Recycled = 1.55 kg * 0.80 = 1.24 kg</w:t>
      </w:r>
    </w:p>
    <w:p>
      <w:pPr>
        <w:pStyle w:val="BodyText"/>
      </w:pPr>
      <w:r>
        <w:t xml:space="preserve">Landfill Emissions = 0.31 kg * 0.5 kgCO2e/kg = 0.155 kgCO2e</w:t>
      </w:r>
      <w:r>
        <w:br/>
      </w:r>
      <w:r>
        <w:t xml:space="preserve">Recycling Benefits = 1.24 kg * -1.0 kgCO2e/kg = -1.24 kgCO2e</w:t>
      </w:r>
    </w:p>
    <w:p>
      <w:pPr>
        <w:pStyle w:val="BodyText"/>
      </w:pPr>
      <w:r>
        <w:rPr>
          <w:bCs/>
          <w:b/>
        </w:rPr>
        <w:t xml:space="preserve">Total End-of-Life Emissions = 0.155 kgCO2e + (-1.24 kgCO2e) = -1.085 kgCO2e</w:t>
      </w:r>
      <w:r>
        <w:t xml:space="preserve"> </w:t>
      </w:r>
      <w:r>
        <w:t xml:space="preserve">(net benefit)</w:t>
      </w:r>
    </w:p>
    <w:bookmarkEnd w:id="38"/>
    <w:bookmarkEnd w:id="39"/>
    <w:bookmarkStart w:id="40" w:name="summary-of-pcf-by-scope"/>
    <w:p>
      <w:pPr>
        <w:pStyle w:val="Heading3"/>
      </w:pPr>
      <w:r>
        <w:t xml:space="preserve">4.2. Summary of PCF by Scope</w:t>
      </w:r>
    </w:p>
    <w:p>
      <w:pPr>
        <w:pStyle w:val="FirstParagraph"/>
      </w:pPr>
      <w:r>
        <w:t xml:space="preserve">The GHG Protocol categorizes emissions into Scope 1 (direct emissions), Scope 2 (indirect emissions from purchased energy), and Scope 3 (all other indirect emissions across the value chain).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 / Description</w:t>
            </w:r>
          </w:p>
        </w:tc>
        <w:tc>
          <w:tcPr/>
          <w:p>
            <w:pPr>
              <w:pStyle w:val="Compact"/>
              <w:jc w:val="left"/>
            </w:pPr>
            <w:r>
              <w:t xml:space="preserve">Emissions (kgCO2e per 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c>
          <w:tcPr/>
          <w:p>
            <w:pPr>
              <w:pStyle w:val="Compact"/>
              <w:jc w:val="left"/>
            </w:pPr>
            <w:r>
              <w:t xml:space="preserve">Assumed no direct emissions for this product\'s manufacturing.</w:t>
            </w:r>
          </w:p>
        </w:tc>
      </w:tr>
      <w:tr>
        <w:tc>
          <w:tcPr/>
          <w:p>
            <w:pPr>
              <w:pStyle w:val="Compact"/>
              <w:jc w:val="left"/>
            </w:pPr>
            <w:r>
              <w:t xml:space="preserve">Scope 2</w:t>
            </w:r>
          </w:p>
        </w:tc>
        <w:tc>
          <w:tcPr/>
          <w:p>
            <w:pPr>
              <w:pStyle w:val="Compact"/>
              <w:jc w:val="left"/>
            </w:pPr>
            <w:r>
              <w:t xml:space="preserve">Purchased Electricity (Production Phase)</w:t>
            </w:r>
          </w:p>
        </w:tc>
        <w:tc>
          <w:tcPr/>
          <w:p>
            <w:pPr>
              <w:pStyle w:val="Compact"/>
              <w:jc w:val="left"/>
            </w:pPr>
            <w:r>
              <w:t xml:space="preserve">2.15</w:t>
            </w:r>
          </w:p>
        </w:tc>
        <w:tc>
          <w:tcPr/>
          <w:p>
            <w:pPr>
              <w:pStyle w:val="Compact"/>
              <w:jc w:val="left"/>
            </w:pPr>
            <w:r>
              <w:t xml:space="preserve">Includes grid and renewable electricity components.</w:t>
            </w:r>
          </w:p>
        </w:tc>
      </w:tr>
      <w:tr>
        <w:tc>
          <w:tcPr>
            <w:vMerge w:val="restart"/>
          </w:tcPr>
          <w:p>
            <w:pPr>
              <w:pStyle w:val="Compact"/>
              <w:jc w:val="left"/>
            </w:pPr>
            <w:r>
              <w:t xml:space="preserve">Scope 3</w:t>
            </w:r>
          </w:p>
        </w:tc>
        <w:tc>
          <w:tcPr/>
          <w:p>
            <w:pPr>
              <w:pStyle w:val="Compact"/>
              <w:jc w:val="left"/>
            </w:pPr>
            <w:r>
              <w:t xml:space="preserve">Category 1: Purchased goods and services (Raw Materials)</w:t>
            </w:r>
          </w:p>
        </w:tc>
        <w:tc>
          <w:tcPr/>
          <w:p>
            <w:pPr>
              <w:pStyle w:val="Compact"/>
              <w:jc w:val="left"/>
            </w:pPr>
            <w:r>
              <w:t xml:space="preserve">13.88</w:t>
            </w:r>
          </w:p>
        </w:tc>
        <w:tc>
          <w:tcPr/>
          <w:p>
            <w:pPr>
              <w:pStyle w:val="Compact"/>
              <w:jc w:val="left"/>
            </w:pPr>
            <w:r>
              <w:t xml:space="preserve">Based on detailed BOM analysis.</w:t>
            </w:r>
          </w:p>
        </w:tc>
      </w:tr>
      <w:tr>
        <w:tc>
          <w:tcPr>
            <w:gridSpan w:val="1"/>
            <w:vMerge w:val="continue"/>
          </w:tcPr>
          <w:p>
            <w:pPr/>
          </w:p>
        </w:tc>
        <w:tc>
          <w:tcPr/>
          <w:p>
            <w:pPr>
              <w:pStyle w:val="Compact"/>
              <w:jc w:val="left"/>
            </w:pPr>
            <w:r>
              <w:t xml:space="preserve">Category 4 &amp; 9: Transportation and Distribution (Upstream &amp; Downstream)</w:t>
            </w:r>
          </w:p>
        </w:tc>
        <w:tc>
          <w:tcPr/>
          <w:p>
            <w:pPr>
              <w:pStyle w:val="Compact"/>
              <w:jc w:val="left"/>
            </w:pPr>
            <w:r>
              <w:t xml:space="preserve">0.28</w:t>
            </w:r>
          </w:p>
        </w:tc>
        <w:tc>
          <w:tcPr/>
          <w:p>
            <w:pPr>
              <w:pStyle w:val="Compact"/>
              <w:jc w:val="left"/>
            </w:pPr>
            <w:r>
              <w:t xml:space="preserve">Includes transport from China to Europe and last-mile delivery.</w:t>
            </w:r>
          </w:p>
        </w:tc>
      </w:tr>
      <w:tr>
        <w:tc>
          <w:tcPr>
            <w:gridSpan w:val="1"/>
            <w:vMerge w:val="continue"/>
          </w:tcPr>
          <w:p>
            <w:pPr/>
          </w:p>
        </w:tc>
        <w:tc>
          <w:tcPr/>
          <w:p>
            <w:pPr>
              <w:pStyle w:val="Compact"/>
              <w:jc w:val="left"/>
            </w:pPr>
            <w:r>
              <w:t xml:space="preserve">Category 11: Use of Sold Products (Use Phase)</w:t>
            </w:r>
          </w:p>
        </w:tc>
        <w:tc>
          <w:tcPr/>
          <w:p>
            <w:pPr>
              <w:pStyle w:val="Compact"/>
              <w:jc w:val="left"/>
            </w:pPr>
            <w:r>
              <w:t xml:space="preserve">7.50</w:t>
            </w:r>
          </w:p>
        </w:tc>
        <w:tc>
          <w:tcPr/>
          <w:p>
            <w:pPr>
              <w:pStyle w:val="Compact"/>
              <w:jc w:val="left"/>
            </w:pPr>
            <w:r>
              <w:t xml:space="preserve">Emissions over the assumed 5-year lifespan.</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-1.09</w:t>
            </w:r>
          </w:p>
        </w:tc>
        <w:tc>
          <w:tcPr/>
          <w:p>
            <w:pPr>
              <w:pStyle w:val="Compact"/>
              <w:jc w:val="left"/>
            </w:pPr>
            <w:r>
              <w:t xml:space="preserve">Net benefit due to high recyclability and circular programs.</w:t>
            </w:r>
          </w:p>
        </w:tc>
      </w:tr>
      <w:tr>
        <w:tc>
          <w:tcPr>
            <w:gridSpan w:val="2"/>
          </w:tcPr>
          <w:p>
            <w:pPr>
              <w:pStyle w:val="Compact"/>
              <w:jc w:val="left"/>
            </w:pPr>
            <w:r>
              <w:rPr>
                <w:bCs/>
                <w:b/>
              </w:rPr>
              <w:t xml:space="preserve">TOTAL PRODUCT CARBON FOOTPRINT (per unit of euohwexgqk)</w:t>
            </w:r>
          </w:p>
        </w:tc>
        <w:tc>
          <w:tcPr/>
          <w:p>
            <w:pPr>
              <w:pStyle w:val="Compact"/>
              <w:jc w:val="left"/>
            </w:pPr>
            <w:r>
              <w:rPr>
                <w:bCs/>
                <w:b/>
              </w:rPr>
              <w:t xml:space="preserve">22.72</w:t>
            </w:r>
          </w:p>
        </w:tc>
        <w:tc>
          <w:tcPr/>
          <w:p>
            <w:pPr>
              <w:pStyle w:val="Compact"/>
            </w:pPr>
          </w:p>
        </w:tc>
      </w:tr>
    </w:tbl>
    <w:p>
      <w:r>
        <w:pict>
          <v:rect style="width:0;height:1.5pt" o:hralign="center" o:hrstd="t" o:hr="t"/>
        </w:pict>
      </w:r>
    </w:p>
    <w:bookmarkEnd w:id="40"/>
    <w:bookmarkEnd w:id="41"/>
    <w:bookmarkStart w:id="48" w:name="review-report"/>
    <w:p>
      <w:pPr>
        <w:pStyle w:val="Heading2"/>
      </w:pPr>
      <w:r>
        <w:t xml:space="preserve">5. Review &amp; Report</w:t>
      </w:r>
    </w:p>
    <w:bookmarkStart w:id="42" w:name="total-product-carbon-footprint"/>
    <w:p>
      <w:pPr>
        <w:pStyle w:val="Heading3"/>
      </w:pPr>
      <w:r>
        <w:t xml:space="preserve">5.1. Total Product Carbon Footprint</w:t>
      </w:r>
    </w:p>
    <w:p>
      <w:pPr>
        <w:pStyle w:val="FirstParagraph"/>
      </w:pPr>
      <w:r>
        <w:t xml:space="preserve">The total estimated Product Carbon Footprint for one unit of euohwexgqk is</w:t>
      </w:r>
      <w:r>
        <w:t xml:space="preserve"> </w:t>
      </w:r>
      <w:r>
        <w:rPr>
          <w:bCs/>
          <w:b/>
        </w:rPr>
        <w:t xml:space="preserve">22.72 kgCO2e</w:t>
      </w:r>
      <w:r>
        <w:t xml:space="preserve">.</w:t>
      </w:r>
    </w:p>
    <w:bookmarkEnd w:id="42"/>
    <w:bookmarkStart w:id="43" w:name="hotspots-analysis"/>
    <w:p>
      <w:pPr>
        <w:pStyle w:val="Heading3"/>
      </w:pPr>
      <w:r>
        <w:t xml:space="preserve">5.2. Hotspots Analysis</w:t>
      </w:r>
    </w:p>
    <w:p>
      <w:pPr>
        <w:pStyle w:val="FirstParagraph"/>
      </w:pPr>
      <w:r>
        <w:t xml:space="preserve">Based on this analysis, the primary emission hotspots for euohwexgqk are:</w:t>
      </w:r>
    </w:p>
    <w:p>
      <w:pPr>
        <w:numPr>
          <w:ilvl w:val="0"/>
          <w:numId w:val="1015"/>
        </w:numPr>
        <w:pStyle w:val="Compact"/>
      </w:pPr>
      <w:r>
        <w:rPr>
          <w:bCs/>
          <w:b/>
        </w:rPr>
        <w:t xml:space="preserve">Raw Materials Acquisition &amp; Pre-processing (Scope 3, Category 1):</w:t>
      </w:r>
      <w:r>
        <w:t xml:space="preserve"> </w:t>
      </w:r>
      <w:r>
        <w:t xml:space="preserve">Constituting approximately 61% of the total footprint (13.88 kgCO2e), this stage is the most significant contributor. The Printed Circuit Board (PCB), ABS Plastic, and Aluminum Frame are key drivers within this category.</w:t>
      </w:r>
    </w:p>
    <w:p>
      <w:pPr>
        <w:numPr>
          <w:ilvl w:val="0"/>
          <w:numId w:val="1015"/>
        </w:numPr>
        <w:pStyle w:val="Compact"/>
      </w:pPr>
      <w:r>
        <w:rPr>
          <w:bCs/>
          <w:b/>
        </w:rPr>
        <w:t xml:space="preserve">Use Phase (Scope 3, Category 11):</w:t>
      </w:r>
      <w:r>
        <w:t xml:space="preserve"> </w:t>
      </w:r>
      <w:r>
        <w:t xml:space="preserve">Accounting for about 33% of the total footprint (7.50 kgCO2e), the energy consumption during the product\'s lifespan is a substantial contributor, depending on the energy mix of the user\'s location.</w:t>
      </w:r>
    </w:p>
    <w:p>
      <w:pPr>
        <w:numPr>
          <w:ilvl w:val="0"/>
          <w:numId w:val="1015"/>
        </w:numPr>
        <w:pStyle w:val="Compact"/>
      </w:pPr>
      <w:r>
        <w:rPr>
          <w:bCs/>
          <w:b/>
        </w:rPr>
        <w:t xml:space="preserve">Production Phase (Scope 2):</w:t>
      </w:r>
      <w:r>
        <w:t xml:space="preserve"> </w:t>
      </w:r>
      <w:r>
        <w:t xml:space="preserve">Represents approximately 9% of the total (2.15 kgCO2e), demonstrating the positive impact of 70% renewable energy usage. Without this, emissions from production would be significantly higher.</w:t>
      </w:r>
    </w:p>
    <w:p>
      <w:pPr>
        <w:numPr>
          <w:ilvl w:val="0"/>
          <w:numId w:val="1015"/>
        </w:numPr>
        <w:pStyle w:val="Compact"/>
      </w:pPr>
      <w:r>
        <w:rPr>
          <w:bCs/>
          <w:b/>
        </w:rPr>
        <w:t xml:space="preserve">End-of-Life (Scope 3, Category 12):</w:t>
      </w:r>
      <w:r>
        <w:t xml:space="preserve"> </w:t>
      </w:r>
      <w:r>
        <w:t xml:space="preserve">Shows a net benefit (-1.09 kgCO2e) due to the high recyclability percentage and the implementation of circular/take-back programs, effectively offsetting some upstream emissions.</w:t>
      </w:r>
    </w:p>
    <w:p>
      <w:pPr>
        <w:numPr>
          <w:ilvl w:val="0"/>
          <w:numId w:val="1015"/>
        </w:numPr>
        <w:pStyle w:val="Compact"/>
      </w:pPr>
      <w:r>
        <w:rPr>
          <w:bCs/>
          <w:b/>
        </w:rPr>
        <w:t xml:space="preserve">Transport &amp; Distribution (Scope 3, Categories 4 &amp; 9):</w:t>
      </w:r>
      <w:r>
        <w:t xml:space="preserve"> </w:t>
      </w:r>
      <w:r>
        <w:t xml:space="preserve">A relatively minor contributor at approximately 1% (0.28 kgCO2e), suggesting efficient logistics or lower-impact transport modes (though specific mode assumed).</w:t>
      </w:r>
    </w:p>
    <w:bookmarkEnd w:id="43"/>
    <w:bookmarkStart w:id="44" w:name="reliability-statement"/>
    <w:p>
      <w:pPr>
        <w:pStyle w:val="Heading3"/>
      </w:pPr>
      <w:r>
        <w:t xml:space="preserve">5.3. Reliability Statement</w:t>
      </w:r>
    </w:p>
    <w:p>
      <w:pPr>
        <w:pStyle w:val="FirstParagraph"/>
      </w:pPr>
      <w:r>
        <w:t xml:space="preserve">This PCF analysis is based on a combination of illustrative and assumed data, guided by the parameters provided. While the methodology adheres to GHG Protocol standards and utilizes typical industry emission factors (e.g., from Ecoinvent/DEFRA), the numerical results are illustrative. To enhance the accuracy and reliability of future reports, xfuedktssd is recommended to:</w:t>
      </w:r>
    </w:p>
    <w:p>
      <w:pPr>
        <w:numPr>
          <w:ilvl w:val="0"/>
          <w:numId w:val="1016"/>
        </w:numPr>
        <w:pStyle w:val="Compact"/>
      </w:pPr>
      <w:r>
        <w:t xml:space="preserve">Collect primary data directly from suppliers for the Bill of Materials (BOM) and manufacturing processes.</w:t>
      </w:r>
    </w:p>
    <w:p>
      <w:pPr>
        <w:numPr>
          <w:ilvl w:val="0"/>
          <w:numId w:val="1016"/>
        </w:numPr>
        <w:pStyle w:val="Compact"/>
      </w:pPr>
      <w:r>
        <w:t xml:space="preserve">Obtain specific energy consumption data for the production facility, including a precise breakdown of renewable energy sourcing and its origin.</w:t>
      </w:r>
    </w:p>
    <w:p>
      <w:pPr>
        <w:numPr>
          <w:ilvl w:val="0"/>
          <w:numId w:val="1016"/>
        </w:numPr>
        <w:pStyle w:val="Compact"/>
      </w:pPr>
      <w:r>
        <w:t xml:space="preserve">Secure actual transport distances and modes used by logistics providers for all significant inbound and outbound shipments.</w:t>
      </w:r>
    </w:p>
    <w:p>
      <w:pPr>
        <w:numPr>
          <w:ilvl w:val="0"/>
          <w:numId w:val="1016"/>
        </w:numPr>
        <w:pStyle w:val="Compact"/>
      </w:pPr>
      <w:r>
        <w:t xml:space="preserve">Gather precise user energy consumption profiles and regional grid mixes for the primary markets where euohwexgqk is sold.</w:t>
      </w:r>
    </w:p>
    <w:bookmarkEnd w:id="44"/>
    <w:bookmarkStart w:id="45" w:name="recommendations-for-emission-reduction"/>
    <w:p>
      <w:pPr>
        <w:pStyle w:val="Heading3"/>
      </w:pPr>
      <w:r>
        <w:t xml:space="preserve">5.4. Recommendations for Emission Reduction</w:t>
      </w:r>
    </w:p>
    <w:p>
      <w:pPr>
        <w:numPr>
          <w:ilvl w:val="0"/>
          <w:numId w:val="1017"/>
        </w:numPr>
        <w:pStyle w:val="Compact"/>
      </w:pPr>
      <w:r>
        <w:rPr>
          <w:bCs/>
          <w:b/>
        </w:rPr>
        <w:t xml:space="preserve">Material Optimization:</w:t>
      </w:r>
      <w:r>
        <w:t xml:space="preserve"> </w:t>
      </w:r>
      <w:r>
        <w:t xml:space="preserve">Focus on redesigning euohwexgqk to utilize lower-impact materials, reduce material quantities, or source materials with certified low-carbon footprints, particularly for components like the PCB, ABS plastic, and aluminum.</w:t>
      </w:r>
    </w:p>
    <w:p>
      <w:pPr>
        <w:numPr>
          <w:ilvl w:val="0"/>
          <w:numId w:val="1017"/>
        </w:numPr>
        <w:pStyle w:val="Compact"/>
      </w:pPr>
      <w:r>
        <w:rPr>
          <w:bCs/>
          <w:b/>
        </w:rPr>
        <w:t xml:space="preserve">Supply Chain Engagement:</w:t>
      </w:r>
      <w:r>
        <w:t xml:space="preserve"> </w:t>
      </w:r>
      <w:r>
        <w:t xml:space="preserve">Collaborate with key suppliers to encourage their decarbonization efforts, including adopting renewable energy and improving process efficiency.</w:t>
      </w:r>
    </w:p>
    <w:p>
      <w:pPr>
        <w:numPr>
          <w:ilvl w:val="0"/>
          <w:numId w:val="1017"/>
        </w:numPr>
        <w:pStyle w:val="Compact"/>
      </w:pPr>
      <w:r>
        <w:rPr>
          <w:bCs/>
          <w:b/>
        </w:rPr>
        <w:t xml:space="preserve">Energy Efficiency in Use:</w:t>
      </w:r>
      <w:r>
        <w:t xml:space="preserve"> </w:t>
      </w:r>
      <w:r>
        <w:t xml:space="preserve">Explore design improvements to reduce the product\'s energy consumption during its use phase, thus lowering its lifetime environmental impact, especially considering varying energy mixes in different regions.</w:t>
      </w:r>
    </w:p>
    <w:p>
      <w:pPr>
        <w:numPr>
          <w:ilvl w:val="0"/>
          <w:numId w:val="1017"/>
        </w:numPr>
        <w:pStyle w:val="Compact"/>
      </w:pPr>
      <w:r>
        <w:rPr>
          <w:bCs/>
          <w:b/>
        </w:rPr>
        <w:t xml:space="preserve">Circular Economy Integration:</w:t>
      </w:r>
      <w:r>
        <w:t xml:space="preserve"> </w:t>
      </w:r>
      <w:r>
        <w:t xml:space="preserve">Continue and expand circular economy initiatives, ensuring high collection rates for take-back programs and exploring opportunities for material reuse in addition to recycling.</w:t>
      </w:r>
    </w:p>
    <w:bookmarkEnd w:id="45"/>
    <w:bookmarkStart w:id="46" w:name="scope-3-compliance-2026-requirements"/>
    <w:p>
      <w:pPr>
        <w:pStyle w:val="Heading3"/>
      </w:pPr>
      <w:r>
        <w:t xml:space="preserve">5.5. Scope 3 Compliance (2026 Requirements)</w:t>
      </w:r>
    </w:p>
    <w:p>
      <w:pPr>
        <w:pStyle w:val="FirstParagraph"/>
      </w:pPr>
      <w:r>
        <w:t xml:space="preserve">This analysis explicitly addresses the 2026 GHG Protocol requirements for Scope 3 emissions, aiming for at least 95% coverage of all relevant categories. By including all significant lifecycle stages from raw materials to end-of-life, the report provides a comprehensive view of value chain emissions. The proposed 2026 revisions also emphasize mandatory data disaggregation by source type (primary vs. secondary) and setting annual data quality improvement targets. Future iterations of this analysis will focus on increasing primary data collection to further bolster compliance and credibility.</w:t>
      </w:r>
    </w:p>
    <w:bookmarkEnd w:id="46"/>
    <w:bookmarkStart w:id="47" w:name="Xa4cd520132ca8e9e3f29e21de3f4a8c33c191a4"/>
    <w:p>
      <w:pPr>
        <w:pStyle w:val="Heading3"/>
      </w:pPr>
      <w:r>
        <w:t xml:space="preserve">5.6. Land Sector and Removals (LSR) Standard Application (2026 Update)</w:t>
      </w:r>
    </w:p>
    <w:p>
      <w:pPr>
        <w:pStyle w:val="FirstParagraph"/>
      </w:pPr>
      <w:r>
        <w:t xml:space="preserve">The 2026 LSR Standard clarifies how to account for land management, land use change, CO₂ removals, and biogenic products. While euohwexgqk may not directly involve significant land-use change in its final form, the principles of the LSR Standard are critical for transparency regarding any bio-based materials or agricultural feedstocks upstream in its supply chain. This means ensuring that any land-related emissions or removals within the product\'s value chain are consistently measured and reported, especially as the standard becomes effective January 1, 2027.</w:t>
      </w:r>
    </w:p>
    <w:p>
      <w:r>
        <w:pict>
          <v:rect style="width:0;height:1.5pt" o:hralign="center" o:hrstd="t" o:hr="t"/>
        </w:pict>
      </w:r>
    </w:p>
    <w:p>
      <w:pPr>
        <w:pStyle w:val="FirstParagraph"/>
      </w:pPr>
      <w:r>
        <w:t xml:space="preserve">Confidential - Internal Use Only</w:t>
      </w:r>
    </w:p>
    <w:p>
      <w:pPr>
        <w:pStyle w:val="BodyText"/>
      </w:pPr>
      <w:r>
        <w:t xml:space="preserve">Report ID: PCF-EUOHWEXGQK-XFUEDKTSSD-20260528</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euohwexgqk</dc:title>
  <dc:creator/>
  <dc:description>High-detail Product Carbon Footprint (PCF) analysis report for euohwexgqk by xfuedktssd, adhering to GHG Protocol and 2026 updates, conducted by Senior Sustainability Consultant vevjwxnqrg.</dc:description>
  <dc:language>en</dc:language>
  <cp:keywords/>
  <dcterms:created xsi:type="dcterms:W3CDTF">2026-07-15T17:54:31Z</dcterms:created>
  <dcterms:modified xsi:type="dcterms:W3CDTF">2026-07-15T17:54:31Z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