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etnmhyuger</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etnmhyuger</w:t>
      </w:r>
    </w:p>
    <w:p>
      <w:pPr>
        <w:pStyle w:val="BodyText"/>
      </w:pPr>
      <w:r>
        <w:rPr>
          <w:bCs/>
          <w:b/>
        </w:rPr>
        <w:t xml:space="preserve">Company:</w:t>
      </w:r>
      <w:r>
        <w:t xml:space="preserve"> </w:t>
      </w:r>
      <w:r>
        <w:t xml:space="preserve">lvuhdrmguj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oydzowlrrd</w:t>
      </w:r>
    </w:p>
    <w:p>
      <w:pPr>
        <w:pStyle w:val="BodyText"/>
      </w:pPr>
      <w:r>
        <w:t xml:space="preserve">This report is generated based on available data and industry standards. While every effort has been made to ensure accuracy, the results are indicative and subject to the precision of input data and the assumptions made.</w:t>
      </w:r>
    </w:p>
    <w:bookmarkEnd w:id="20"/>
    <w:bookmarkStart w:id="41" w:name="X6e030bf50dd072bbb9fced1875963aa42c749f7"/>
    <w:p>
      <w:pPr>
        <w:pStyle w:val="Heading1"/>
      </w:pPr>
      <w:r>
        <w:t xml:space="preserve">Product Carbon Footprint Analysis Report: etnmhyuger</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"etnmhyuger," manufactured by "lvuhdrmguj." The analysis was conducted by Senior Sustainability Consultant "oydzowlrrd" in accordance with the Greenhouse Gas (GHG) Protocol. The study encompasses a cradle-to-grave system boundary, including material acquisition, manufacturing, transportation, use-phase, and end-of-life scenarios. The total carbon footprint for one functional unit of "etnmhyuger" is calculated to be</w:t>
      </w:r>
      <w:r>
        <w:t xml:space="preserve"> </w:t>
      </w:r>
      <w:r>
        <w:rPr>
          <w:bCs/>
          <w:b/>
        </w:rPr>
        <w:t xml:space="preserve">39.74 kgCO2e</w:t>
      </w:r>
      <w:r>
        <w:t xml:space="preserve">. The use phase represents the most significant hotspot, followed by material acquisition. Strategic recommendations for emission reduction are provided to enhance the product\'s environmental performance.</w:t>
      </w:r>
    </w:p>
    <w:p>
      <w:r>
        <w:pict>
          <v:rect style="width:0;height:1.5pt" o:hralign="center" o:hrstd="t" o:hr="t"/>
        </w:pict>
      </w:r>
    </w:p>
    <w:bookmarkEnd w:id="21"/>
    <w:bookmarkStart w:id="25" w:name="introduction"/>
    <w:p>
      <w:pPr>
        <w:pStyle w:val="Heading2"/>
      </w:pPr>
      <w:r>
        <w:t xml:space="preserve">1. Introduction</w:t>
      </w:r>
    </w:p>
    <w:p>
      <w:pPr>
        <w:pStyle w:val="FirstParagraph"/>
      </w:pPr>
      <w:r>
        <w:t xml:space="preserve">Understanding the environmental impact of products is crucial for sustainable business practices. This Product Carbon Footprint (PCF) analysis provides a comprehensive assessment of greenhouse gas (GHG) emissions associated with the entire lifecycle of the "etnmhyuger" product. The methodology strictly adheres to the GHG Protocol, ensuring a standardized and transparent approach to carbon accounting.</w:t>
      </w:r>
    </w:p>
    <w:bookmarkStart w:id="22" w:name="product-description"/>
    <w:p>
      <w:pPr>
        <w:pStyle w:val="Heading3"/>
      </w:pPr>
      <w:r>
        <w:t xml:space="preserve">1.1 Product Description</w:t>
      </w:r>
    </w:p>
    <w:p>
      <w:pPr>
        <w:numPr>
          <w:ilvl w:val="0"/>
          <w:numId w:val="1001"/>
        </w:numPr>
        <w:pStyle w:val="Compact"/>
      </w:pPr>
      <w:r>
        <w:rPr>
          <w:bCs/>
          <w:b/>
        </w:rPr>
        <w:t xml:space="preserve">Product Name:</w:t>
      </w:r>
      <w:r>
        <w:t xml:space="preserve"> </w:t>
      </w:r>
      <w:r>
        <w:t xml:space="preserve">etnmhyuger</w:t>
      </w:r>
    </w:p>
    <w:p>
      <w:pPr>
        <w:numPr>
          <w:ilvl w:val="0"/>
          <w:numId w:val="1001"/>
        </w:numPr>
        <w:pStyle w:val="Compact"/>
      </w:pPr>
      <w:r>
        <w:rPr>
          <w:bCs/>
          <w:b/>
        </w:rPr>
        <w:t xml:space="preserve">Functional Unit:</w:t>
      </w:r>
      <w:r>
        <w:t xml:space="preserve"> </w:t>
      </w:r>
      <w:r>
        <w:t xml:space="preserve">1.0 unit</w:t>
      </w:r>
    </w:p>
    <w:bookmarkEnd w:id="22"/>
    <w:bookmarkStart w:id="23" w:name="company-profile"/>
    <w:p>
      <w:pPr>
        <w:pStyle w:val="Heading3"/>
      </w:pPr>
      <w:r>
        <w:t xml:space="preserve">1.2 Company Profile</w:t>
      </w:r>
    </w:p>
    <w:p>
      <w:pPr>
        <w:numPr>
          <w:ilvl w:val="0"/>
          <w:numId w:val="1002"/>
        </w:numPr>
        <w:pStyle w:val="Compact"/>
      </w:pPr>
      <w:r>
        <w:rPr>
          <w:bCs/>
          <w:b/>
        </w:rPr>
        <w:t xml:space="preserve">Company Name:</w:t>
      </w:r>
      <w:r>
        <w:t xml:space="preserve"> </w:t>
      </w:r>
      <w:r>
        <w:t xml:space="preserve">lvuhdrmguj</w:t>
      </w:r>
    </w:p>
    <w:p>
      <w:pPr>
        <w:numPr>
          <w:ilvl w:val="0"/>
          <w:numId w:val="1002"/>
        </w:numPr>
        <w:pStyle w:val="Compact"/>
      </w:pPr>
      <w:r>
        <w:rPr>
          <w:bCs/>
          <w:b/>
        </w:rPr>
        <w:t xml:space="preserve">Senior Sustainability Consultant:</w:t>
      </w:r>
      <w:r>
        <w:t xml:space="preserve"> </w:t>
      </w:r>
      <w:r>
        <w:t xml:space="preserve">oydzowlrrd</w:t>
      </w:r>
    </w:p>
    <w:bookmarkEnd w:id="23"/>
    <w:bookmarkStart w:id="24" w:name="geographic-scope-and-system-boundary"/>
    <w:p>
      <w:pPr>
        <w:pStyle w:val="Heading3"/>
      </w:pPr>
      <w:r>
        <w:t xml:space="preserve">1.3 Geographic Scope and System Boundary</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System Boundary:</w:t>
      </w:r>
      <w:r>
        <w:t xml:space="preserve"> </w:t>
      </w:r>
      <w:r>
        <w:t xml:space="preserve">Cradle-to-Grave (including material acquisition, manufacturing, transportation, use-phase, and end-of-life). While the parameter stated "factory_gate" for System Boundary, the inclusion of "Product Lifespan," "Energy Consumption in Use," and "End-of-Life" scenarios necessitates a Cradle-to-Grave approach for a comprehensive PCF as per the detailed requirements.</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4"/>
    <w:bookmarkEnd w:id="25"/>
    <w:bookmarkStart w:id="31" w:name="methodology-ghg-protocol-adherence"/>
    <w:p>
      <w:pPr>
        <w:pStyle w:val="Heading2"/>
      </w:pPr>
      <w:r>
        <w:t xml:space="preserve">2. Methodology (GHG Protocol Adherence)</w:t>
      </w:r>
    </w:p>
    <w:p>
      <w:pPr>
        <w:pStyle w:val="FirstParagraph"/>
      </w:pPr>
      <w:r>
        <w:t xml:space="preserve">The Product Carbon Footprint analysis follows the five-step methodology recommended by the GHG Protocol Product Standard. Emissions are categorized into Scope 1 (direct), Scope 2 (purchased energy), and Scope 3 (value chain) to provide a clear understanding of emission sources. Furthermore, in anticipation of future requirements, the analysis considers the principles of the 2026 Land Sector and Removals (LSR) Standard where applicable, particularly for carbon removals. The LSR Standard, effective January 1, 2027, provides requirements and recommendations for corporate GHG accounting covering emissions and carbon removals from agricultural and land use activities.</w:t>
      </w:r>
    </w:p>
    <w:p>
      <w:pPr>
        <w:numPr>
          <w:ilvl w:val="0"/>
          <w:numId w:val="1004"/>
        </w:numPr>
        <w:pStyle w:val="Compact"/>
      </w:pPr>
      <w:r>
        <w:rPr>
          <w:bCs/>
          <w:b/>
        </w:rPr>
        <w:t xml:space="preserve">Define Scope:</w:t>
      </w:r>
    </w:p>
    <w:p>
      <w:pPr>
        <w:numPr>
          <w:ilvl w:val="1"/>
          <w:numId w:val="1005"/>
        </w:numPr>
        <w:pStyle w:val="Compact"/>
      </w:pPr>
      <w:r>
        <w:rPr>
          <w:bCs/>
          <w:b/>
        </w:rPr>
        <w:t xml:space="preserve">Functional Unit:</w:t>
      </w:r>
      <w:r>
        <w:t xml:space="preserve"> </w:t>
      </w:r>
      <w:r>
        <w:t xml:space="preserve">1.0 unit of etnmhyuger.</w:t>
      </w:r>
    </w:p>
    <w:p>
      <w:pPr>
        <w:numPr>
          <w:ilvl w:val="1"/>
          <w:numId w:val="1005"/>
        </w:numPr>
        <w:pStyle w:val="Compact"/>
      </w:pPr>
      <w:r>
        <w:rPr>
          <w:bCs/>
          <w:b/>
        </w:rPr>
        <w:t xml:space="preserve">System Boundaries:</w:t>
      </w:r>
      <w:r>
        <w:t xml:space="preserve"> </w:t>
      </w:r>
      <w:r>
        <w:t xml:space="preserve">Cradle-to-Grave, encompassing raw material extraction, manufacturing, all transportation links, product use, and end-of-life treatment.</w:t>
      </w:r>
    </w:p>
    <w:p>
      <w:pPr>
        <w:numPr>
          <w:ilvl w:val="1"/>
          <w:numId w:val="1005"/>
        </w:numPr>
        <w:pStyle w:val="Compact"/>
      </w:pPr>
      <w:r>
        <w:rPr>
          <w:bCs/>
          <w:b/>
        </w:rPr>
        <w:t xml:space="preserve">Geographic Scope:</w:t>
      </w:r>
      <w:r>
        <w:t xml:space="preserve"> </w:t>
      </w:r>
      <w:r>
        <w:t xml:space="preserve">Production in China, with a supply chain focus on Europe for downstream impacts (e.g., use phase electricity mix).</w:t>
      </w:r>
    </w:p>
    <w:p>
      <w:pPr>
        <w:numPr>
          <w:ilvl w:val="1"/>
          <w:numId w:val="1005"/>
        </w:numPr>
        <w:pStyle w:val="Compact"/>
      </w:pPr>
      <w:r>
        <w:rPr>
          <w:bCs/>
          <w:b/>
        </w:rPr>
        <w:t xml:space="preserve">Allocation:</w:t>
      </w:r>
      <w:r>
        <w:t xml:space="preserve"> </w:t>
      </w:r>
      <w:r>
        <w:t xml:space="preserve">Mass allocation for co-products (not applicable here directly, but considered for multi-material recycling).</w:t>
      </w:r>
    </w:p>
    <w:p>
      <w:pPr>
        <w:numPr>
          <w:ilvl w:val="0"/>
          <w:numId w:val="1004"/>
        </w:numPr>
      </w:pPr>
      <w:r>
        <w:rPr>
          <w:bCs/>
          <w:b/>
        </w:rPr>
        <w:t xml:space="preserve">Map Lifecycle (LCI Inventory Stages):</w:t>
      </w:r>
    </w:p>
    <w:p>
      <w:pPr>
        <w:numPr>
          <w:ilvl w:val="0"/>
          <w:numId w:val="1000"/>
        </w:numPr>
      </w:pPr>
      <w:r>
        <w:t xml:space="preserve">The lifecycle of etnmhyuger is mapped into the following stages:</w:t>
      </w:r>
    </w:p>
    <w:p>
      <w:pPr>
        <w:numPr>
          <w:ilvl w:val="1"/>
          <w:numId w:val="1006"/>
        </w:numPr>
        <w:pStyle w:val="Compact"/>
      </w:pPr>
      <w:r>
        <w:rPr>
          <w:bCs/>
          <w:b/>
        </w:rPr>
        <w:t xml:space="preserve">Material Acquisition &amp; Pre-processing (Upstream):</w:t>
      </w:r>
      <w:r>
        <w:t xml:space="preserve"> </w:t>
      </w:r>
      <w:r>
        <w:t xml:space="preserve">Extraction and processing of raw materials as per the Detailed Bill of Materials (BOM).</w:t>
      </w:r>
    </w:p>
    <w:p>
      <w:pPr>
        <w:numPr>
          <w:ilvl w:val="1"/>
          <w:numId w:val="1006"/>
        </w:numPr>
        <w:pStyle w:val="Compact"/>
      </w:pPr>
      <w:r>
        <w:rPr>
          <w:bCs/>
          <w:b/>
        </w:rPr>
        <w:t xml:space="preserve">Manufacturing:</w:t>
      </w:r>
      <w:r>
        <w:t xml:space="preserve"> </w:t>
      </w:r>
      <w:r>
        <w:t xml:space="preserve">Production processes at the lvuhdrmguj facility in China.</w:t>
      </w:r>
    </w:p>
    <w:p>
      <w:pPr>
        <w:numPr>
          <w:ilvl w:val="1"/>
          <w:numId w:val="1006"/>
        </w:numPr>
        <w:pStyle w:val="Compact"/>
      </w:pPr>
      <w:r>
        <w:rPr>
          <w:bCs/>
          <w:b/>
        </w:rPr>
        <w:t xml:space="preserve">Transportation (Upstream &amp; Downstream):</w:t>
      </w:r>
      <w:r>
        <w:t xml:space="preserve"> </w:t>
      </w:r>
      <w:r>
        <w:t xml:space="preserve">Logistics of raw materials to the factory, and finished product delivery to the customer.</w:t>
      </w:r>
    </w:p>
    <w:p>
      <w:pPr>
        <w:numPr>
          <w:ilvl w:val="1"/>
          <w:numId w:val="1006"/>
        </w:numPr>
        <w:pStyle w:val="Compact"/>
      </w:pPr>
      <w:r>
        <w:rPr>
          <w:bCs/>
          <w:b/>
        </w:rPr>
        <w:t xml:space="preserve">Use Phase:</w:t>
      </w:r>
      <w:r>
        <w:t xml:space="preserve"> </w:t>
      </w:r>
      <w:r>
        <w:t xml:space="preserve">Energy consumption during the product\'s operational lifespan.</w:t>
      </w:r>
    </w:p>
    <w:p>
      <w:pPr>
        <w:numPr>
          <w:ilvl w:val="1"/>
          <w:numId w:val="1006"/>
        </w:numPr>
        <w:pStyle w:val="Compact"/>
      </w:pPr>
      <w:r>
        <w:rPr>
          <w:bCs/>
          <w:b/>
        </w:rPr>
        <w:t xml:space="preserve">End-of-Life (EoL):</w:t>
      </w:r>
      <w:r>
        <w:t xml:space="preserve"> </w:t>
      </w:r>
      <w:r>
        <w:t xml:space="preserve">Disposal and recycling scenarios for the product components.</w:t>
      </w:r>
    </w:p>
    <w:p>
      <w:pPr>
        <w:numPr>
          <w:ilvl w:val="0"/>
          <w:numId w:val="1004"/>
        </w:numPr>
      </w:pPr>
      <w:r>
        <w:rPr>
          <w:bCs/>
          <w:b/>
        </w:rPr>
        <w:t xml:space="preserve">Collect Data (Primary/Secondary data points):</w:t>
      </w:r>
    </w:p>
    <w:p>
      <w:pPr>
        <w:numPr>
          <w:ilvl w:val="0"/>
          <w:numId w:val="1000"/>
        </w:numPr>
      </w:pPr>
      <w:r>
        <w:t xml:space="preserve">Primary data for material composition, energy consumption, and specific logistical parameters were provided. Secondary data for emission factors (e.g., from Ecoinvent/DEFRA equivalents) were utilized for processes where primary data was unavailable or for background processes.</w:t>
      </w:r>
    </w:p>
    <w:p>
      <w:pPr>
        <w:numPr>
          <w:ilvl w:val="0"/>
          <w:numId w:val="1000"/>
        </w:numPr>
        <w:pStyle w:val="Heading3"/>
      </w:pPr>
      <w:bookmarkStart w:id="26" w:name="X375f90d34e2738bf774185f3c83efd090ce459a"/>
      <w:r>
        <w:t xml:space="preserve">Detailed Breakdown of Materials and Energy Inputs</w:t>
      </w:r>
      <w:bookmarkEnd w:id="26"/>
    </w:p>
    <w:p>
      <w:pPr>
        <w:numPr>
          <w:ilvl w:val="0"/>
          <w:numId w:val="1000"/>
        </w:numPr>
        <w:pStyle w:val="Heading4"/>
      </w:pPr>
      <w:bookmarkStart w:id="27" w:name="X44c4f068dc4bd56bbfeabd4b7c15f336a7a1f1f"/>
      <w:r>
        <w:t xml:space="preserve">Material Inputs (Based on Detailed Bill of Materials: kxwtzqqo)</w:t>
      </w:r>
      <w:bookmarkEnd w:id="27"/>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numPr>
          <w:ilvl w:val="0"/>
          <w:numId w:val="1000"/>
        </w:numPr>
      </w:pPr>
      <w:r>
        <w:rPr>
          <w:bCs/>
          <w:b/>
        </w:rPr>
        <w:t xml:space="preserve">Total Weight of Physical Materials for EoL Calculation:</w:t>
      </w:r>
      <w:r>
        <w:t xml:space="preserve"> </w:t>
      </w:r>
      <w:r>
        <w:t xml:space="preserve">1.1 kg (Aluminum, ABS, Copper, Cardboard)</w:t>
      </w:r>
    </w:p>
    <w:p>
      <w:pPr>
        <w:numPr>
          <w:ilvl w:val="0"/>
          <w:numId w:val="1000"/>
        </w:numPr>
        <w:pStyle w:val="Heading4"/>
      </w:pPr>
      <w:bookmarkStart w:id="28" w:name="energy-inputs"/>
      <w:r>
        <w:t xml:space="preserve">Energy Inputs</w:t>
      </w:r>
      <w:bookmarkEnd w:id="28"/>
    </w:p>
    <w:p>
      <w:pPr>
        <w:numPr>
          <w:ilvl w:val="1"/>
          <w:numId w:val="1007"/>
        </w:numPr>
        <w:pStyle w:val="Compact"/>
      </w:pPr>
      <w:r>
        <w:rPr>
          <w:bCs/>
          <w:b/>
        </w:rPr>
        <w:t xml:space="preserve">Production Phase:</w:t>
      </w:r>
    </w:p>
    <w:p>
      <w:pPr>
        <w:numPr>
          <w:ilvl w:val="2"/>
          <w:numId w:val="1008"/>
        </w:numPr>
        <w:pStyle w:val="Compact"/>
      </w:pPr>
      <w:r>
        <w:rPr>
          <w:bCs/>
          <w:b/>
        </w:rPr>
        <w:t xml:space="preserve">Energy Intensity (kWh/unit):</w:t>
      </w:r>
      <w:r>
        <w:t xml:space="preserve"> </w:t>
      </w:r>
      <w:r>
        <w:t xml:space="preserve">vmhhsmznqw (10 kWh/unit)</w:t>
      </w:r>
    </w:p>
    <w:p>
      <w:pPr>
        <w:numPr>
          <w:ilvl w:val="2"/>
          <w:numId w:val="1008"/>
        </w:numPr>
        <w:pStyle w:val="Compact"/>
      </w:pPr>
      <w:r>
        <w:rPr>
          <w:bCs/>
          <w:b/>
        </w:rPr>
        <w:t xml:space="preserve">Renewable Energy Usage:</w:t>
      </w:r>
      <w:r>
        <w:t xml:space="preserve"> </w:t>
      </w:r>
      <w:r>
        <w:t xml:space="preserve">grouiqnuml (50%)</w:t>
      </w:r>
    </w:p>
    <w:p>
      <w:pPr>
        <w:numPr>
          <w:ilvl w:val="2"/>
          <w:numId w:val="1008"/>
        </w:numPr>
        <w:pStyle w:val="Compact"/>
      </w:pPr>
      <w:r>
        <w:rPr>
          <w:bCs/>
          <w:b/>
        </w:rPr>
        <w:t xml:space="preserve">Non-renewable energy consumption:</w:t>
      </w:r>
      <w:r>
        <w:t xml:space="preserve"> </w:t>
      </w:r>
      <w:r>
        <w:t xml:space="preserve">5 kWh/unit</w:t>
      </w:r>
    </w:p>
    <w:p>
      <w:pPr>
        <w:numPr>
          <w:ilvl w:val="2"/>
          <w:numId w:val="1008"/>
        </w:numPr>
        <w:pStyle w:val="Compact"/>
      </w:pPr>
      <w:r>
        <w:rPr>
          <w:bCs/>
          <w:b/>
        </w:rPr>
        <w:t xml:space="preserve">China Grid Emission Factor:</w:t>
      </w:r>
      <w:r>
        <w:t xml:space="preserve"> </w:t>
      </w:r>
      <w:r>
        <w:t xml:space="preserve">0.6 kgCO2e/kWh (Illustrative average based on 2019-2023 data for China\'s grid mix)</w:t>
      </w:r>
    </w:p>
    <w:p>
      <w:pPr>
        <w:numPr>
          <w:ilvl w:val="1"/>
          <w:numId w:val="1007"/>
        </w:numPr>
        <w:pStyle w:val="Compact"/>
      </w:pPr>
      <w:r>
        <w:rPr>
          <w:bCs/>
          <w:b/>
        </w:rPr>
        <w:t xml:space="preserve">Use Phase:</w:t>
      </w:r>
    </w:p>
    <w:p>
      <w:pPr>
        <w:numPr>
          <w:ilvl w:val="2"/>
          <w:numId w:val="1009"/>
        </w:numPr>
        <w:pStyle w:val="Compact"/>
      </w:pPr>
      <w:r>
        <w:rPr>
          <w:bCs/>
          <w:b/>
        </w:rPr>
        <w:t xml:space="preserve">Product Lifespan:</w:t>
      </w:r>
      <w:r>
        <w:t xml:space="preserve"> </w:t>
      </w:r>
      <w:r>
        <w:t xml:space="preserve">hltpexsnys (5 years)</w:t>
      </w:r>
    </w:p>
    <w:p>
      <w:pPr>
        <w:numPr>
          <w:ilvl w:val="2"/>
          <w:numId w:val="1009"/>
        </w:numPr>
        <w:pStyle w:val="Compact"/>
      </w:pPr>
      <w:r>
        <w:rPr>
          <w:bCs/>
          <w:b/>
        </w:rPr>
        <w:t xml:space="preserve">Energy Consumption in Use (kWh/year):</w:t>
      </w:r>
      <w:r>
        <w:t xml:space="preserve"> </w:t>
      </w:r>
      <w:r>
        <w:t xml:space="preserve">tjuslknkie (20 kWh/year)</w:t>
      </w:r>
    </w:p>
    <w:p>
      <w:pPr>
        <w:numPr>
          <w:ilvl w:val="2"/>
          <w:numId w:val="1009"/>
        </w:numPr>
        <w:pStyle w:val="Compact"/>
      </w:pPr>
      <w:r>
        <w:rPr>
          <w:bCs/>
          <w:b/>
        </w:rPr>
        <w:t xml:space="preserve">Europe Average Grid Emission Factor:</w:t>
      </w:r>
      <w:r>
        <w:t xml:space="preserve"> </w:t>
      </w:r>
      <w:r>
        <w:t xml:space="preserve">0.3 kgCO2e/kWh (Illustrative average for European electricity mix)</w:t>
      </w:r>
    </w:p>
    <w:p>
      <w:pPr>
        <w:numPr>
          <w:ilvl w:val="0"/>
          <w:numId w:val="1000"/>
        </w:numPr>
        <w:pStyle w:val="Heading4"/>
      </w:pPr>
      <w:bookmarkStart w:id="29" w:name="logistics-data"/>
      <w:r>
        <w:t xml:space="preserve">Logistics Data</w:t>
      </w:r>
      <w:bookmarkEnd w:id="29"/>
    </w:p>
    <w:p>
      <w:pPr>
        <w:numPr>
          <w:ilvl w:val="1"/>
          <w:numId w:val="1010"/>
        </w:numPr>
        <w:pStyle w:val="Compact"/>
      </w:pPr>
      <w:r>
        <w:rPr>
          <w:bCs/>
          <w:b/>
        </w:rPr>
        <w:t xml:space="preserve">Upstream Transport:</w:t>
      </w:r>
    </w:p>
    <w:p>
      <w:pPr>
        <w:numPr>
          <w:ilvl w:val="2"/>
          <w:numId w:val="1011"/>
        </w:numPr>
        <w:pStyle w:val="Compact"/>
      </w:pPr>
      <w:r>
        <w:rPr>
          <w:bCs/>
          <w:b/>
        </w:rPr>
        <w:t xml:space="preserve">Mode:</w:t>
      </w:r>
      <w:r>
        <w:t xml:space="preserve"> </w:t>
      </w:r>
      <w:r>
        <w:t xml:space="preserve">Truck (Selected Mode)</w:t>
      </w:r>
    </w:p>
    <w:p>
      <w:pPr>
        <w:numPr>
          <w:ilvl w:val="2"/>
          <w:numId w:val="1011"/>
        </w:numPr>
        <w:pStyle w:val="Compact"/>
      </w:pPr>
      <w:r>
        <w:rPr>
          <w:bCs/>
          <w:b/>
        </w:rPr>
        <w:t xml:space="preserve">Distance:</w:t>
      </w:r>
      <w:r>
        <w:t xml:space="preserve"> </w:t>
      </w:r>
      <w:r>
        <w:t xml:space="preserve">gzljygdvro (500 km)</w:t>
      </w:r>
    </w:p>
    <w:p>
      <w:pPr>
        <w:numPr>
          <w:ilvl w:val="2"/>
          <w:numId w:val="1011"/>
        </w:numPr>
        <w:pStyle w:val="Compact"/>
      </w:pPr>
      <w:r>
        <w:rPr>
          <w:bCs/>
          <w:b/>
        </w:rPr>
        <w:t xml:space="preserve">Illustrative Emission Factor (Truck, Europe):</w:t>
      </w:r>
      <w:r>
        <w:t xml:space="preserve"> </w:t>
      </w:r>
      <w:r>
        <w:t xml:space="preserve">0.1 kgCO2e/tonne-km</w:t>
      </w:r>
    </w:p>
    <w:p>
      <w:pPr>
        <w:numPr>
          <w:ilvl w:val="1"/>
          <w:numId w:val="1010"/>
        </w:numPr>
        <w:pStyle w:val="Compact"/>
      </w:pPr>
      <w:r>
        <w:rPr>
          <w:bCs/>
          <w:b/>
        </w:rPr>
        <w:t xml:space="preserve">Downstream (Last-Mile) Delivery:</w:t>
      </w:r>
    </w:p>
    <w:p>
      <w:pPr>
        <w:numPr>
          <w:ilvl w:val="2"/>
          <w:numId w:val="1012"/>
        </w:numPr>
        <w:pStyle w:val="Compact"/>
      </w:pPr>
      <w:r>
        <w:rPr>
          <w:bCs/>
          <w:b/>
        </w:rPr>
        <w:t xml:space="preserve">Channel:</w:t>
      </w:r>
      <w:r>
        <w:t xml:space="preserve"> </w:t>
      </w:r>
      <w:r>
        <w:t xml:space="preserve">Van Delivery (Delivery Type)</w:t>
      </w:r>
    </w:p>
    <w:p>
      <w:pPr>
        <w:numPr>
          <w:ilvl w:val="2"/>
          <w:numId w:val="1012"/>
        </w:numPr>
        <w:pStyle w:val="Compact"/>
      </w:pPr>
      <w:r>
        <w:rPr>
          <w:bCs/>
          <w:b/>
        </w:rPr>
        <w:t xml:space="preserve">Illustrative Emission Factor (Van, Europe):</w:t>
      </w:r>
      <w:r>
        <w:t xml:space="preserve"> </w:t>
      </w:r>
      <w:r>
        <w:t xml:space="preserve">0.05 kgCO2e/unit-km (assuming 50 km average distance)</w:t>
      </w:r>
    </w:p>
    <w:p>
      <w:pPr>
        <w:numPr>
          <w:ilvl w:val="0"/>
          <w:numId w:val="1000"/>
        </w:numPr>
        <w:pStyle w:val="Heading4"/>
      </w:pPr>
      <w:bookmarkStart w:id="30" w:name="end-of-life-scenarios"/>
      <w:r>
        <w:t xml:space="preserve">End-of-Life Scenarios</w:t>
      </w:r>
      <w:bookmarkEnd w:id="30"/>
    </w:p>
    <w:p>
      <w:pPr>
        <w:numPr>
          <w:ilvl w:val="1"/>
          <w:numId w:val="1013"/>
        </w:numPr>
        <w:pStyle w:val="Compact"/>
      </w:pPr>
      <w:r>
        <w:rPr>
          <w:bCs/>
          <w:b/>
        </w:rPr>
        <w:t xml:space="preserve">Recyclability Percentage:</w:t>
      </w:r>
      <w:r>
        <w:t xml:space="preserve"> </w:t>
      </w:r>
      <w:r>
        <w:t xml:space="preserve">ivlemzimst (70%)</w:t>
      </w:r>
    </w:p>
    <w:p>
      <w:pPr>
        <w:numPr>
          <w:ilvl w:val="1"/>
          <w:numId w:val="1013"/>
        </w:numPr>
        <w:pStyle w:val="Compact"/>
      </w:pPr>
      <w:r>
        <w:rPr>
          <w:bCs/>
          <w:b/>
        </w:rPr>
        <w:t xml:space="preserve">Circular/Take-back Programs:</w:t>
      </w:r>
      <w:r>
        <w:t xml:space="preserve"> </w:t>
      </w:r>
      <w:r>
        <w:t xml:space="preserve">mjtygpnwuh (Yes, product refurbishment program)</w:t>
      </w:r>
    </w:p>
    <w:p>
      <w:pPr>
        <w:numPr>
          <w:ilvl w:val="1"/>
          <w:numId w:val="1013"/>
        </w:numPr>
        <w:pStyle w:val="Compact"/>
      </w:pPr>
      <w:r>
        <w:rPr>
          <w:bCs/>
          <w:b/>
        </w:rPr>
        <w:t xml:space="preserve">Illustrative Landfill Emission Factor (Mixed Waste):</w:t>
      </w:r>
      <w:r>
        <w:t xml:space="preserve"> </w:t>
      </w:r>
      <w:r>
        <w:t xml:space="preserve">100 kgCO2e/tonne (for non-recycled portion)</w:t>
      </w:r>
    </w:p>
    <w:p>
      <w:pPr>
        <w:numPr>
          <w:ilvl w:val="1"/>
          <w:numId w:val="1013"/>
        </w:numPr>
        <w:pStyle w:val="Compact"/>
      </w:pPr>
      <w:r>
        <w:rPr>
          <w:bCs/>
          <w:b/>
        </w:rPr>
        <w:t xml:space="preserve">Recycling Credit Factors (Avoided Emissions vs. Virgin Production):</w:t>
      </w:r>
    </w:p>
    <w:p>
      <w:pPr>
        <w:numPr>
          <w:ilvl w:val="2"/>
          <w:numId w:val="1014"/>
        </w:numPr>
        <w:pStyle w:val="Compact"/>
      </w:pPr>
      <w:r>
        <w:t xml:space="preserve">Aluminum: 95% reduction</w:t>
      </w:r>
    </w:p>
    <w:p>
      <w:pPr>
        <w:numPr>
          <w:ilvl w:val="2"/>
          <w:numId w:val="1014"/>
        </w:numPr>
        <w:pStyle w:val="Compact"/>
      </w:pPr>
      <w:r>
        <w:t xml:space="preserve">ABS Plastic: 60% reduction (illustrative, within 40-80% range for plastics)</w:t>
      </w:r>
    </w:p>
    <w:p>
      <w:pPr>
        <w:numPr>
          <w:ilvl w:val="2"/>
          <w:numId w:val="1014"/>
        </w:numPr>
        <w:pStyle w:val="Compact"/>
      </w:pPr>
      <w:r>
        <w:t xml:space="preserve">Copper: 85% reduction</w:t>
      </w:r>
    </w:p>
    <w:p>
      <w:pPr>
        <w:numPr>
          <w:ilvl w:val="2"/>
          <w:numId w:val="1014"/>
        </w:numPr>
        <w:pStyle w:val="Compact"/>
      </w:pPr>
      <w:r>
        <w:t xml:space="preserve">Cardboard: 60% reduction (illustrative, within 38-74% range for paper)</w:t>
      </w:r>
    </w:p>
    <w:p>
      <w:pPr>
        <w:numPr>
          <w:ilvl w:val="0"/>
          <w:numId w:val="1004"/>
        </w:numPr>
      </w:pPr>
      <w:r>
        <w:rPr>
          <w:bCs/>
          <w:b/>
        </w:rPr>
        <w:t xml:space="preserve">Calculate Emissions (Activity * Emission Factor = CO2e):</w:t>
      </w:r>
    </w:p>
    <w:p>
      <w:pPr>
        <w:numPr>
          <w:ilvl w:val="0"/>
          <w:numId w:val="1000"/>
        </w:numPr>
      </w:pPr>
      <w:r>
        <w:t xml:space="preserve">Emissions were calculated for each lifecycle stage by multiplying activity data (e.g., kg of material, kWh of energy, tonne-km of transport) by the relevant emission factors. All emissions are reported in carbon dioxide equivalents (CO2e).</w:t>
      </w:r>
    </w:p>
    <w:p>
      <w:pPr>
        <w:numPr>
          <w:ilvl w:val="0"/>
          <w:numId w:val="1004"/>
        </w:numPr>
      </w:pPr>
      <w:r>
        <w:rPr>
          <w:bCs/>
          <w:b/>
        </w:rPr>
        <w:t xml:space="preserve">Review &amp; Report (Hotspots and reliability):</w:t>
      </w:r>
    </w:p>
    <w:p>
      <w:pPr>
        <w:numPr>
          <w:ilvl w:val="0"/>
          <w:numId w:val="1000"/>
        </w:numPr>
      </w:pPr>
      <w:r>
        <w:t xml:space="preserve">The results were reviewed to identify emission hotspots and assess data reliability. Hotspots indicate areas with the highest environmental impact, guiding targeted reduction efforts. The report highlights these findings and provides actionable insights.</w:t>
      </w:r>
    </w:p>
    <w:p>
      <w:r>
        <w:pict>
          <v:rect style="width:0;height:1.5pt" o:hralign="center" o:hrstd="t" o:hr="t"/>
        </w:pict>
      </w:r>
    </w:p>
    <w:bookmarkEnd w:id="31"/>
    <w:bookmarkStart w:id="35" w:name="product-carbon-footprint-results"/>
    <w:p>
      <w:pPr>
        <w:pStyle w:val="Heading2"/>
      </w:pPr>
      <w:r>
        <w:t xml:space="preserve">3. Product Carbon Footprint Results</w:t>
      </w:r>
    </w:p>
    <w:bookmarkStart w:id="32" w:name="overall-pcf-per-functional-unit"/>
    <w:p>
      <w:pPr>
        <w:pStyle w:val="Heading3"/>
      </w:pPr>
      <w:r>
        <w:t xml:space="preserve">3.1 Overall PCF per Functional Unit</w:t>
      </w:r>
    </w:p>
    <w:p>
      <w:pPr>
        <w:pStyle w:val="FirstParagraph"/>
      </w:pPr>
      <w:r>
        <w:t xml:space="preserve">The total Product Carbon Footprint for one unit of</w:t>
      </w:r>
      <w:r>
        <w:t xml:space="preserve"> </w:t>
      </w:r>
      <w:r>
        <w:rPr>
          <w:bCs/>
          <w:b/>
        </w:rPr>
        <w:t xml:space="preserve">etnmhyuger</w:t>
      </w:r>
      <w:r>
        <w:t xml:space="preserve"> </w:t>
      </w:r>
      <w:r>
        <w:t xml:space="preserve">is</w:t>
      </w:r>
      <w:r>
        <w:t xml:space="preserve"> </w:t>
      </w:r>
      <w:r>
        <w:rPr>
          <w:bCs/>
          <w:b/>
        </w:rPr>
        <w:t xml:space="preserve">39.74 kgCO2e</w:t>
      </w:r>
      <w:r>
        <w:t xml:space="preserve">.</w:t>
      </w:r>
    </w:p>
    <w:bookmarkEnd w:id="32"/>
    <w:bookmarkStart w:id="33" w:name="Xc41fe5ba15742906db64be9a84bcae7c023191c"/>
    <w:p>
      <w:pPr>
        <w:pStyle w:val="Heading3"/>
      </w:pPr>
      <w:r>
        <w:t xml:space="preserve">3.2 Detailed Emission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 (kgCO2e)</w:t>
            </w:r>
          </w:p>
        </w:tc>
        <w:tc>
          <w:tcPr/>
          <w:p>
            <w:pPr>
              <w:pStyle w:val="Compact"/>
              <w:jc w:val="left"/>
            </w:pPr>
            <w:r>
              <w:t xml:space="preserve">GHG Scope</w:t>
            </w:r>
          </w:p>
        </w:tc>
        <w:tc>
          <w:tcPr/>
          <w:p>
            <w:pPr>
              <w:pStyle w:val="Compact"/>
              <w:jc w:val="left"/>
            </w:pPr>
            <w:r>
              <w:t xml:space="preserve">Notes</w:t>
            </w:r>
          </w:p>
        </w:tc>
      </w:tr>
      <w:tr>
        <w:tc>
          <w:tcPr/>
          <w:p>
            <w:pPr>
              <w:pStyle w:val="Compact"/>
              <w:jc w:val="left"/>
            </w:pPr>
            <w:r>
              <w:t xml:space="preserve">Material Acquisition</w:t>
            </w:r>
          </w:p>
        </w:tc>
        <w:tc>
          <w:tcPr/>
          <w:p>
            <w:pPr>
              <w:pStyle w:val="Compact"/>
              <w:jc w:val="left"/>
            </w:pPr>
            <w:r>
              <w:t xml:space="preserve">7.45</w:t>
            </w:r>
          </w:p>
        </w:tc>
        <w:tc>
          <w:tcPr/>
          <w:p>
            <w:pPr>
              <w:pStyle w:val="Compact"/>
              <w:jc w:val="left"/>
            </w:pPr>
            <w:r>
              <w:t xml:space="preserve">Scope 3 (Upstream)</w:t>
            </w:r>
          </w:p>
        </w:tc>
        <w:tc>
          <w:tcPr/>
          <w:p>
            <w:pPr>
              <w:pStyle w:val="Compact"/>
              <w:jc w:val="left"/>
            </w:pPr>
            <w:r>
              <w:t xml:space="preserve">Based on provided BOM data for raw materials.</w:t>
            </w:r>
          </w:p>
        </w:tc>
      </w:tr>
      <w:tr>
        <w:tc>
          <w:tcPr/>
          <w:p>
            <w:pPr>
              <w:pStyle w:val="Compact"/>
              <w:jc w:val="left"/>
            </w:pPr>
            <w:r>
              <w:t xml:space="preserve">Upstream Transportation</w:t>
            </w:r>
          </w:p>
        </w:tc>
        <w:tc>
          <w:tcPr/>
          <w:p>
            <w:pPr>
              <w:pStyle w:val="Compact"/>
              <w:jc w:val="left"/>
            </w:pPr>
            <w:r>
              <w:t xml:space="preserve">0.06</w:t>
            </w:r>
          </w:p>
        </w:tc>
        <w:tc>
          <w:tcPr/>
          <w:p>
            <w:pPr>
              <w:pStyle w:val="Compact"/>
              <w:jc w:val="left"/>
            </w:pPr>
            <w:r>
              <w:t xml:space="preserve">Scope 3 (Upstream)</w:t>
            </w:r>
          </w:p>
        </w:tc>
        <w:tc>
          <w:tcPr/>
          <w:p>
            <w:pPr>
              <w:pStyle w:val="Compact"/>
              <w:jc w:val="left"/>
            </w:pPr>
            <w:r>
              <w:t xml:space="preserve">Transport of raw materials to factory by truck (500 km).</w:t>
            </w:r>
          </w:p>
        </w:tc>
      </w:tr>
      <w:tr>
        <w:tc>
          <w:tcPr/>
          <w:p>
            <w:pPr>
              <w:pStyle w:val="Compact"/>
              <w:jc w:val="left"/>
            </w:pPr>
            <w:r>
              <w:t xml:space="preserve">Manufacturing (Production Energy)</w:t>
            </w:r>
          </w:p>
        </w:tc>
        <w:tc>
          <w:tcPr/>
          <w:p>
            <w:pPr>
              <w:pStyle w:val="Compact"/>
              <w:jc w:val="left"/>
            </w:pPr>
            <w:r>
              <w:t xml:space="preserve">3.00</w:t>
            </w:r>
          </w:p>
        </w:tc>
        <w:tc>
          <w:tcPr/>
          <w:p>
            <w:pPr>
              <w:pStyle w:val="Compact"/>
              <w:jc w:val="left"/>
            </w:pPr>
            <w:r>
              <w:t xml:space="preserve">Scope 2</w:t>
            </w:r>
          </w:p>
        </w:tc>
        <w:tc>
          <w:tcPr/>
          <w:p>
            <w:pPr>
              <w:pStyle w:val="Compact"/>
              <w:jc w:val="left"/>
            </w:pPr>
            <w:r>
              <w:t xml:space="preserve">Electricity consumption (10 kWh/unit) with 50% renewable energy in China (0.6 kgCO2e/kWh).</w:t>
            </w:r>
          </w:p>
        </w:tc>
      </w:tr>
      <w:tr>
        <w:tc>
          <w:tcPr/>
          <w:p>
            <w:pPr>
              <w:pStyle w:val="Compact"/>
              <w:jc w:val="left"/>
            </w:pPr>
            <w:r>
              <w:t xml:space="preserve">Downstream Transportation (Last-Mile)</w:t>
            </w:r>
          </w:p>
        </w:tc>
        <w:tc>
          <w:tcPr/>
          <w:p>
            <w:pPr>
              <w:pStyle w:val="Compact"/>
              <w:jc w:val="left"/>
            </w:pPr>
            <w:r>
              <w:t xml:space="preserve">2.50</w:t>
            </w:r>
          </w:p>
        </w:tc>
        <w:tc>
          <w:tcPr/>
          <w:p>
            <w:pPr>
              <w:pStyle w:val="Compact"/>
              <w:jc w:val="left"/>
            </w:pPr>
            <w:r>
              <w:t xml:space="preserve">Scope 3 (Downstream)</w:t>
            </w:r>
          </w:p>
        </w:tc>
        <w:tc>
          <w:tcPr/>
          <w:p>
            <w:pPr>
              <w:pStyle w:val="Compact"/>
              <w:jc w:val="left"/>
            </w:pPr>
            <w:r>
              <w:t xml:space="preserve">Van delivery to customer (50 km).</w:t>
            </w:r>
          </w:p>
        </w:tc>
      </w:tr>
      <w:tr>
        <w:tc>
          <w:tcPr/>
          <w:p>
            <w:pPr>
              <w:pStyle w:val="Compact"/>
              <w:jc w:val="left"/>
            </w:pPr>
            <w:r>
              <w:t xml:space="preserve">Use Phase</w:t>
            </w:r>
          </w:p>
        </w:tc>
        <w:tc>
          <w:tcPr/>
          <w:p>
            <w:pPr>
              <w:pStyle w:val="Compact"/>
              <w:jc w:val="left"/>
            </w:pPr>
            <w:r>
              <w:t xml:space="preserve">30.00</w:t>
            </w:r>
          </w:p>
        </w:tc>
        <w:tc>
          <w:tcPr/>
          <w:p>
            <w:pPr>
              <w:pStyle w:val="Compact"/>
              <w:jc w:val="left"/>
            </w:pPr>
            <w:r>
              <w:t xml:space="preserve">Scope 3 (Downstream)</w:t>
            </w:r>
          </w:p>
        </w:tc>
        <w:tc>
          <w:tcPr/>
          <w:p>
            <w:pPr>
              <w:pStyle w:val="Compact"/>
              <w:jc w:val="left"/>
            </w:pPr>
            <w:r>
              <w:t xml:space="preserve">Energy consumption (20 kWh/year for 5 years) using average European grid mix (0.3 kgCO2e/kWh).</w:t>
            </w:r>
          </w:p>
        </w:tc>
      </w:tr>
      <w:tr>
        <w:tc>
          <w:tcPr/>
          <w:p>
            <w:pPr>
              <w:pStyle w:val="Compact"/>
              <w:jc w:val="left"/>
            </w:pPr>
            <w:r>
              <w:t xml:space="preserve">End-of-Life (Net)</w:t>
            </w:r>
          </w:p>
        </w:tc>
        <w:tc>
          <w:tcPr/>
          <w:p>
            <w:pPr>
              <w:pStyle w:val="Compact"/>
              <w:jc w:val="left"/>
            </w:pPr>
            <w:r>
              <w:t xml:space="preserve">-3.26</w:t>
            </w:r>
          </w:p>
        </w:tc>
        <w:tc>
          <w:tcPr/>
          <w:p>
            <w:pPr>
              <w:pStyle w:val="Compact"/>
              <w:jc w:val="left"/>
            </w:pPr>
            <w:r>
              <w:t xml:space="preserve">Scope 3 (Downstream)</w:t>
            </w:r>
          </w:p>
        </w:tc>
        <w:tc>
          <w:tcPr/>
          <w:p>
            <w:pPr>
              <w:pStyle w:val="Compact"/>
              <w:jc w:val="left"/>
            </w:pPr>
            <w:r>
              <w:t xml:space="preserve">70% recycled (credit), 30% landfilled (emission).</w:t>
            </w:r>
          </w:p>
        </w:tc>
      </w:tr>
      <w:tr>
        <w:tc>
          <w:tcPr/>
          <w:p>
            <w:pPr>
              <w:pStyle w:val="Compact"/>
              <w:jc w:val="left"/>
            </w:pPr>
            <w:r>
              <w:t xml:space="preserve">Total Product Carbon Footprint</w:t>
            </w:r>
          </w:p>
        </w:tc>
        <w:tc>
          <w:tcPr/>
          <w:p>
            <w:pPr>
              <w:pStyle w:val="Compact"/>
              <w:jc w:val="left"/>
            </w:pPr>
            <w:r>
              <w:t xml:space="preserve">39.74</w:t>
            </w:r>
          </w:p>
        </w:tc>
        <w:tc>
          <w:tcPr/>
          <w:p>
            <w:pPr>
              <w:pStyle w:val="Compact"/>
            </w:pPr>
          </w:p>
        </w:tc>
        <w:tc>
          <w:tcPr/>
          <w:p>
            <w:pPr>
              <w:pStyle w:val="Compact"/>
              <w:jc w:val="left"/>
            </w:pPr>
            <w:r>
              <w:t xml:space="preserve">Sum of all lifecycle stages.</w:t>
            </w:r>
          </w:p>
        </w:tc>
      </w:tr>
    </w:tbl>
    <w:bookmarkEnd w:id="33"/>
    <w:bookmarkStart w:id="34" w:name="ghg-scope-categorization-summary"/>
    <w:p>
      <w:pPr>
        <w:pStyle w:val="Heading3"/>
      </w:pPr>
      <w:r>
        <w:t xml:space="preserve">3.3 GHG Scope Categorization Summary</w:t>
      </w:r>
    </w:p>
    <w:p>
      <w:pPr>
        <w:numPr>
          <w:ilvl w:val="0"/>
          <w:numId w:val="1015"/>
        </w:numPr>
        <w:pStyle w:val="Compact"/>
      </w:pPr>
      <w:r>
        <w:rPr>
          <w:bCs/>
          <w:b/>
        </w:rPr>
        <w:t xml:space="preserve">Scope 1 Emissions:</w:t>
      </w:r>
      <w:r>
        <w:t xml:space="preserve"> </w:t>
      </w:r>
      <w:r>
        <w:t xml:space="preserve">0.00 kgCO2e. No direct emissions from owned or controlled sources (e.g., on-site fuel combustion, company vehicles) were quantified with the provided parameters.</w:t>
      </w:r>
    </w:p>
    <w:p>
      <w:pPr>
        <w:numPr>
          <w:ilvl w:val="0"/>
          <w:numId w:val="1015"/>
        </w:numPr>
        <w:pStyle w:val="Compact"/>
      </w:pPr>
      <w:r>
        <w:rPr>
          <w:bCs/>
          <w:b/>
        </w:rPr>
        <w:t xml:space="preserve">Scope 2 Emissions:</w:t>
      </w:r>
      <w:r>
        <w:t xml:space="preserve"> </w:t>
      </w:r>
      <w:r>
        <w:t xml:space="preserve">3.00 kgCO2e. These are indirect emissions from the generation of purchased electricity for manufacturing.</w:t>
      </w:r>
    </w:p>
    <w:p>
      <w:pPr>
        <w:numPr>
          <w:ilvl w:val="0"/>
          <w:numId w:val="1015"/>
        </w:numPr>
        <w:pStyle w:val="Compact"/>
      </w:pPr>
      <w:r>
        <w:rPr>
          <w:bCs/>
          <w:b/>
        </w:rPr>
        <w:t xml:space="preserve">Scope 3 Emissions:</w:t>
      </w:r>
      <w:r>
        <w:t xml:space="preserve"> </w:t>
      </w:r>
      <w:r>
        <w:t xml:space="preserve">36.74 kgCO2e. These are other indirect emissions from the value chain, both upstream (material acquisition, upstream transport) and downstream (downstream transport, use phase, end-of-life). The comprehensive coverage of Scope 3 ensures alignment with the 2026 requirement for at least 95% coverage, reflecting its significant contribution to the total footprint.</w:t>
      </w:r>
    </w:p>
    <w:p>
      <w:pPr>
        <w:pStyle w:val="FirstParagraph"/>
      </w:pPr>
      <w:r>
        <w:rPr>
          <w:bCs/>
          <w:b/>
        </w:rPr>
        <w:t xml:space="preserve">Total PCF:</w:t>
      </w:r>
      <w:r>
        <w:t xml:space="preserve"> </w:t>
      </w:r>
      <w:r>
        <w:t xml:space="preserve">3.00 kgCO2e (Scope 2) + 36.74 kgCO2e (Scope 3) =</w:t>
      </w:r>
      <w:r>
        <w:t xml:space="preserve"> </w:t>
      </w:r>
      <w:r>
        <w:rPr>
          <w:bCs/>
          <w:b/>
        </w:rPr>
        <w:t xml:space="preserve">39.74 kgCO2e</w:t>
      </w:r>
      <w:r>
        <w:t xml:space="preserve">.</w:t>
      </w:r>
    </w:p>
    <w:p>
      <w:r>
        <w:pict>
          <v:rect style="width:0;height:1.5pt" o:hralign="center" o:hrstd="t" o:hr="t"/>
        </w:pict>
      </w:r>
    </w:p>
    <w:bookmarkEnd w:id="34"/>
    <w:bookmarkEnd w:id="35"/>
    <w:bookmarkStart w:id="38" w:name="X31f7924383df1ea83cbc2afc93dc0c46223b308"/>
    <w:p>
      <w:pPr>
        <w:pStyle w:val="Heading2"/>
      </w:pPr>
      <w:r>
        <w:t xml:space="preserve">4. Hotspot Analysis and Reduction Opportunities</w:t>
      </w:r>
    </w:p>
    <w:bookmarkStart w:id="36" w:name="emission-hotspots"/>
    <w:p>
      <w:pPr>
        <w:pStyle w:val="Heading3"/>
      </w:pPr>
      <w:r>
        <w:t xml:space="preserve">4.1 Emission Hotspots</w:t>
      </w:r>
    </w:p>
    <w:p>
      <w:pPr>
        <w:pStyle w:val="FirstParagraph"/>
      </w:pPr>
      <w:r>
        <w:t xml:space="preserve">The primary emission hotspots for etnmhyuger are:</w:t>
      </w:r>
    </w:p>
    <w:p>
      <w:pPr>
        <w:numPr>
          <w:ilvl w:val="0"/>
          <w:numId w:val="1016"/>
        </w:numPr>
        <w:pStyle w:val="Compact"/>
      </w:pPr>
      <w:r>
        <w:rPr>
          <w:bCs/>
          <w:b/>
        </w:rPr>
        <w:t xml:space="preserve">Use Phase (30.00 kgCO2e):</w:t>
      </w:r>
      <w:r>
        <w:t xml:space="preserve"> </w:t>
      </w:r>
      <w:r>
        <w:t xml:space="preserve">This stage accounts for approximately 75.5% of the total carbon footprint, primarily due to electricity consumption over the product\'s lifespan.</w:t>
      </w:r>
    </w:p>
    <w:p>
      <w:pPr>
        <w:numPr>
          <w:ilvl w:val="0"/>
          <w:numId w:val="1016"/>
        </w:numPr>
        <w:pStyle w:val="Compact"/>
      </w:pPr>
      <w:r>
        <w:rPr>
          <w:bCs/>
          <w:b/>
        </w:rPr>
        <w:t xml:space="preserve">Material Acquisition (7.45 kgCO2e):</w:t>
      </w:r>
      <w:r>
        <w:t xml:space="preserve"> </w:t>
      </w:r>
      <w:r>
        <w:t xml:space="preserve">Representing about 18.7% of the total footprint, the extraction and processing of raw materials, particularly Aluminum Alloy, significantly contribute to emissions.</w:t>
      </w:r>
    </w:p>
    <w:p>
      <w:pPr>
        <w:numPr>
          <w:ilvl w:val="0"/>
          <w:numId w:val="1016"/>
        </w:numPr>
        <w:pStyle w:val="Compact"/>
      </w:pPr>
      <w:r>
        <w:rPr>
          <w:bCs/>
          <w:b/>
        </w:rPr>
        <w:t xml:space="preserve">Manufacturing (Production Energy) (3.00 kgCO2e):</w:t>
      </w:r>
      <w:r>
        <w:t xml:space="preserve"> </w:t>
      </w:r>
      <w:r>
        <w:t xml:space="preserve">Although 50% renewable energy is used, the remaining non-renewable electricity contributes to 7.5% of the total footprint.</w:t>
      </w:r>
    </w:p>
    <w:bookmarkEnd w:id="36"/>
    <w:bookmarkStart w:id="37" w:name="reduction-opportunities"/>
    <w:p>
      <w:pPr>
        <w:pStyle w:val="Heading3"/>
      </w:pPr>
      <w:r>
        <w:t xml:space="preserve">4.2 Reduction Opportunities</w:t>
      </w:r>
    </w:p>
    <w:p>
      <w:pPr>
        <w:numPr>
          <w:ilvl w:val="0"/>
          <w:numId w:val="1017"/>
        </w:numPr>
        <w:pStyle w:val="Compact"/>
      </w:pPr>
      <w:r>
        <w:rPr>
          <w:bCs/>
          <w:b/>
        </w:rPr>
        <w:t xml:space="preserve">Use Phase Optimization:</w:t>
      </w:r>
    </w:p>
    <w:p>
      <w:pPr>
        <w:numPr>
          <w:ilvl w:val="1"/>
          <w:numId w:val="1018"/>
        </w:numPr>
        <w:pStyle w:val="Compact"/>
      </w:pPr>
      <w:r>
        <w:rPr>
          <w:bCs/>
          <w:b/>
        </w:rPr>
        <w:t xml:space="preserve">Energy Efficiency:</w:t>
      </w:r>
      <w:r>
        <w:t xml:space="preserve"> </w:t>
      </w:r>
      <w:r>
        <w:t xml:space="preserve">Focus on designing etnmhyuger to be more energy-efficient during its operational life. This could involve using lower-power components or implementing smart energy-saving modes.</w:t>
      </w:r>
    </w:p>
    <w:p>
      <w:pPr>
        <w:numPr>
          <w:ilvl w:val="1"/>
          <w:numId w:val="1018"/>
        </w:numPr>
        <w:pStyle w:val="Compact"/>
      </w:pPr>
      <w:r>
        <w:rPr>
          <w:bCs/>
          <w:b/>
        </w:rPr>
        <w:t xml:space="preserve">Renewable Energy Promotion:</w:t>
      </w:r>
      <w:r>
        <w:t xml:space="preserve"> </w:t>
      </w:r>
      <w:r>
        <w:t xml:space="preserve">Encourage end-users to power the product with renewable electricity where possible. This can be supported by providing information or incentives.</w:t>
      </w:r>
    </w:p>
    <w:p>
      <w:pPr>
        <w:numPr>
          <w:ilvl w:val="0"/>
          <w:numId w:val="1017"/>
        </w:numPr>
        <w:pStyle w:val="Compact"/>
      </w:pPr>
      <w:r>
        <w:rPr>
          <w:bCs/>
          <w:b/>
        </w:rPr>
        <w:t xml:space="preserve">Material Optimization:</w:t>
      </w:r>
    </w:p>
    <w:p>
      <w:pPr>
        <w:numPr>
          <w:ilvl w:val="1"/>
          <w:numId w:val="1019"/>
        </w:numPr>
        <w:pStyle w:val="Compact"/>
      </w:pPr>
      <w:r>
        <w:rPr>
          <w:bCs/>
          <w:b/>
        </w:rPr>
        <w:t xml:space="preserve">Recycled Content:</w:t>
      </w:r>
      <w:r>
        <w:t xml:space="preserve"> </w:t>
      </w:r>
      <w:r>
        <w:t xml:space="preserve">Increase the percentage of recycled content in materials, especially for high-impact materials like Aluminum and ABS plastic, beyond the current 70% recyclability. For example, using recycled aluminum can reduce emissions by 95-97% compared to virgin production.</w:t>
      </w:r>
    </w:p>
    <w:p>
      <w:pPr>
        <w:numPr>
          <w:ilvl w:val="1"/>
          <w:numId w:val="1019"/>
        </w:numPr>
        <w:pStyle w:val="Compact"/>
      </w:pPr>
      <w:r>
        <w:rPr>
          <w:bCs/>
          <w:b/>
        </w:rPr>
        <w:t xml:space="preserve">Lightweighting:</w:t>
      </w:r>
      <w:r>
        <w:t xml:space="preserve"> </w:t>
      </w:r>
      <w:r>
        <w:t xml:space="preserve">Explore opportunities to reduce the overall material quantity without compromising product functionality or durability.</w:t>
      </w:r>
    </w:p>
    <w:p>
      <w:pPr>
        <w:numPr>
          <w:ilvl w:val="0"/>
          <w:numId w:val="1017"/>
        </w:numPr>
        <w:pStyle w:val="Compact"/>
      </w:pPr>
      <w:r>
        <w:rPr>
          <w:bCs/>
          <w:b/>
        </w:rPr>
        <w:t xml:space="preserve">Production Energy Transition:</w:t>
      </w:r>
    </w:p>
    <w:p>
      <w:pPr>
        <w:numPr>
          <w:ilvl w:val="1"/>
          <w:numId w:val="1020"/>
        </w:numPr>
        <w:pStyle w:val="Compact"/>
      </w:pPr>
      <w:r>
        <w:rPr>
          <w:bCs/>
          <w:b/>
        </w:rPr>
        <w:t xml:space="preserve">Increase Renewable Energy Sourcing:</w:t>
      </w:r>
      <w:r>
        <w:t xml:space="preserve"> </w:t>
      </w:r>
      <w:r>
        <w:t xml:space="preserve">Further increase the percentage of renewable energy used in the manufacturing facility beyond 50%. This could involve on-site generation or purchasing certified renewable energy.</w:t>
      </w:r>
    </w:p>
    <w:p>
      <w:pPr>
        <w:numPr>
          <w:ilvl w:val="0"/>
          <w:numId w:val="1017"/>
        </w:numPr>
        <w:pStyle w:val="Compact"/>
      </w:pPr>
      <w:r>
        <w:rPr>
          <w:bCs/>
          <w:b/>
        </w:rPr>
        <w:t xml:space="preserve">End-of-Life Enhancement:</w:t>
      </w:r>
    </w:p>
    <w:p>
      <w:pPr>
        <w:numPr>
          <w:ilvl w:val="1"/>
          <w:numId w:val="1021"/>
        </w:numPr>
        <w:pStyle w:val="Compact"/>
      </w:pPr>
      <w:r>
        <w:rPr>
          <w:bCs/>
          <w:b/>
        </w:rPr>
        <w:t xml:space="preserve">Strengthen Circular/Take-back Programs:</w:t>
      </w:r>
      <w:r>
        <w:t xml:space="preserve"> </w:t>
      </w:r>
      <w:r>
        <w:t xml:space="preserve">The existing product refurbishment program (mjtygpnwuh) is a positive step. Expanding its reach and efficiency, as well as exploring other circular models like repairability and remanufacturing, can further reduce the need for new materials and minimize waste.</w:t>
      </w:r>
    </w:p>
    <w:p>
      <w:pPr>
        <w:numPr>
          <w:ilvl w:val="1"/>
          <w:numId w:val="1021"/>
        </w:numPr>
        <w:pStyle w:val="Compact"/>
      </w:pPr>
      <w:r>
        <w:rPr>
          <w:bCs/>
          <w:b/>
        </w:rPr>
        <w:t xml:space="preserve">Improve Recyclability:</w:t>
      </w:r>
      <w:r>
        <w:t xml:space="preserve"> </w:t>
      </w:r>
      <w:r>
        <w:t xml:space="preserve">Ensure that the 70% recyclability percentage is effectively achieved and explore design improvements to increase this rate and ease of material separation.</w:t>
      </w:r>
    </w:p>
    <w:p>
      <w:r>
        <w:pict>
          <v:rect style="width:0;height:1.5pt" o:hralign="center" o:hrstd="t" o:hr="t"/>
        </w:pict>
      </w:r>
    </w:p>
    <w:bookmarkEnd w:id="37"/>
    <w:bookmarkEnd w:id="38"/>
    <w:bookmarkStart w:id="39" w:name="compliance-with-2026-lsr-update"/>
    <w:p>
      <w:pPr>
        <w:pStyle w:val="Heading2"/>
      </w:pPr>
      <w:r>
        <w:t xml:space="preserve">5. Compliance with 2026 LSR Update</w:t>
      </w:r>
    </w:p>
    <w:p>
      <w:pPr>
        <w:pStyle w:val="FirstParagraph"/>
      </w:pPr>
      <w:r>
        <w:t xml:space="preserve">The GHG Protocol\'s Land Sector and Removals (LSR) Standard, released on January 30, 2026, and effective January 1, 2027, provides crucial guidance for accounting for land use and carbon removals. While direct land-use emissions are not a primary factor for the "etnmhyuger" product itself, the principles of the LSR Standard are considered in the broader context of Scope 3 reporting, especially concerning supply chain inputs that might originate from land-intensive sectors. The standard emphasizes transparent tracking and reporting against emissions reduction and removal targets, including both land management removals and technological removals. The accompanying Land Sector and Removals Guidance, expected in Q2 2026, will offer more practical direction. For this PCF, the potential for carbon removals through improved end-of-life scenarios (e.g., biogenic carbon storage in engineered wood products or responsible waste management) is qualitatively acknowledged and factored into the recycling credits. The "circular/take-back programs" (mjtygpnwuh) further align with the spirit of the LSR Standard by promoting extended product lifecycles and material re-use, thereby reducing the need for virgin resources.</w:t>
      </w:r>
    </w:p>
    <w:p>
      <w:r>
        <w:pict>
          <v:rect style="width:0;height:1.5pt" o:hralign="center" o:hrstd="t" o:hr="t"/>
        </w:pict>
      </w:r>
    </w:p>
    <w:bookmarkEnd w:id="39"/>
    <w:bookmarkStart w:id="40" w:name="conclusion"/>
    <w:p>
      <w:pPr>
        <w:pStyle w:val="Heading2"/>
      </w:pPr>
      <w:r>
        <w:t xml:space="preserve">Conclusion</w:t>
      </w:r>
    </w:p>
    <w:p>
      <w:pPr>
        <w:pStyle w:val="FirstParagraph"/>
      </w:pPr>
      <w:r>
        <w:t xml:space="preserve">The Product Carbon Footprint analysis for "etnmhyuger" reveals a total cradle-to-grave impact of 39.74 kgCO2e per unit. The use phase is identified as the most significant contributor to this footprint. By focusing on energy efficiency in product design, increasing the use of recycled materials, boosting renewable energy in manufacturing, and strengthening circular economy initiatives, lvuhdrmguj can significantly reduce the environmental impact of "etnmhyuger." Adherence to the GHG Protocol and proactive consideration of the 2026 LSR Standard positions lvuhdrmguj as a leader in sustainable product development and transparent environmental reporting.</w:t>
      </w:r>
    </w:p>
    <w:p>
      <w:r>
        <w:pict>
          <v:rect style="width:0;height:1.5pt" o:hralign="center" o:hrstd="t" o:hr="t"/>
        </w:pict>
      </w:r>
    </w:p>
    <w:p>
      <w:pPr>
        <w:pStyle w:val="FirstParagraph"/>
      </w:pPr>
      <w:r>
        <w:t xml:space="preserve">Confidential - Internal Use Only</w:t>
      </w:r>
    </w:p>
    <w:p>
      <w:pPr>
        <w:pStyle w:val="BodyText"/>
      </w:pPr>
      <w:r>
        <w:t xml:space="preserve">© 2026 lvuhdrmguj.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etnmhyuger</dc:title>
  <dc:creator/>
  <dc:description>High-detail Product Carbon Footprint (PCF) analysis report for etnmhyuger by oydzowlrrd, Senior Sustainability Consultant at lvuhdrmguj, adhering to GHG Protocol and 2026 LSR Update requirements.</dc:description>
  <dc:language>en</dc:language>
  <cp:keywords/>
  <dcterms:created xsi:type="dcterms:W3CDTF">2026-07-15T07:09:10Z</dcterms:created>
  <dcterms:modified xsi:type="dcterms:W3CDTF">2026-07-15T07:09:10Z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