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etngdqyjmj</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etngdqyjmj"/>
    <w:p>
      <w:pPr>
        <w:pStyle w:val="Heading2"/>
      </w:pPr>
      <w:r>
        <w:t xml:space="preserve">for etngdqyjmj</w:t>
      </w:r>
    </w:p>
    <w:p>
      <w:pPr>
        <w:pStyle w:val="FirstParagraph"/>
      </w:pPr>
      <w:r>
        <w:t xml:space="preserve">Company Name: wgpjpdfjgj</w:t>
      </w:r>
    </w:p>
    <w:p>
      <w:pPr>
        <w:pStyle w:val="BodyText"/>
      </w:pPr>
      <w:r>
        <w:t xml:space="preserve">Senior Sustainability Consultant: xkfhdlxokj</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w:t>
      </w:r>
      <w:r>
        <w:t xml:space="preserve"> </w:t>
      </w:r>
      <w:r>
        <w:t xml:space="preserve">and subject to the quality and completeness of the input data.</w:t>
      </w:r>
    </w:p>
    <w:bookmarkEnd w:id="20"/>
    <w:bookmarkEnd w:id="21"/>
    <w:bookmarkStart w:id="22" w:name="Xb8102b0b363a29d3842f4bfa89abca8f908ce08"/>
    <w:p>
      <w:pPr>
        <w:pStyle w:val="Heading1"/>
      </w:pPr>
      <w:r>
        <w:t xml:space="preserve">Product Carbon Footprint Analysis for etngdqyjmj</w:t>
      </w:r>
    </w:p>
    <w:p>
      <w:pPr>
        <w:pStyle w:val="FirstParagraph"/>
      </w:pPr>
      <w:r>
        <w:t xml:space="preserve">Generated Date: May 27, 2026</w: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"etngdqyjmj" manufactured by "wgpjpdfjgj". The analysis was conducted by "xkfhdlxokj", Senior Sustainability Consultant, adhering strictly to the Greenhouse Gas (GHG) Protocol. The objective is to quantify the greenhouse gas emissions associated with the product\'s lifecycle, identify key emission hotspots, and provide actionable insights for emission reduction. This assessment incorporates the 2026 Land Sector and Removals (LSR) Standard and ensures at least 95% coverage for Scope 3 reporting, reflecting the latest requirements.</w:t>
      </w:r>
    </w:p>
    <w:p>
      <w:r>
        <w:pict>
          <v:rect style="width:0;height:1.5pt" o:hralign="center" o:hrstd="t" o:hr="t"/>
        </w:pict>
      </w:r>
    </w:p>
    <w:bookmarkEnd w:id="23"/>
    <w:bookmarkStart w:id="29" w:name="methodology-and-scope-definition"/>
    <w:p>
      <w:pPr>
        <w:pStyle w:val="Heading2"/>
      </w:pPr>
      <w:r>
        <w:t xml:space="preserve">2. Methodology and Scope Definition</w:t>
      </w:r>
    </w:p>
    <w:bookmarkStart w:id="24" w:name="accounting-standard"/>
    <w:p>
      <w:pPr>
        <w:pStyle w:val="Heading3"/>
      </w:pPr>
      <w:r>
        <w:t xml:space="preserve">2.1. Accounting Standard</w:t>
      </w:r>
    </w:p>
    <w:p>
      <w:pPr>
        <w:pStyle w:val="FirstParagraph"/>
      </w:pPr>
      <w:r>
        <w:t xml:space="preserve">The Product Carbon Footprint analysis is performed in strict accordance with the **GHG Protocol Product Standard** (A Corporate Accounting and Reporting Standard for the entire value chain). This standard provides a comprehensive framework for measuring and managing greenhouse gas emissions from specific products throughout their lifecycle.</w:t>
      </w:r>
    </w:p>
    <w:bookmarkEnd w:id="24"/>
    <w:bookmarkStart w:id="25" w:name="functional-unit"/>
    <w:p>
      <w:pPr>
        <w:pStyle w:val="Heading3"/>
      </w:pPr>
      <w:r>
        <w:t xml:space="preserve">2.2. Functional Unit</w:t>
      </w:r>
    </w:p>
    <w:p>
      <w:pPr>
        <w:pStyle w:val="FirstParagraph"/>
      </w:pPr>
      <w:r>
        <w:t xml:space="preserve">The defined functional unit for this analysis is **1.0 unit of etngdqyjmj**. All emissions are calculated relative to this unit.</w:t>
      </w:r>
    </w:p>
    <w:bookmarkEnd w:id="25"/>
    <w:bookmarkStart w:id="26" w:name="system-boundary"/>
    <w:p>
      <w:pPr>
        <w:pStyle w:val="Heading3"/>
      </w:pPr>
      <w:r>
        <w:t xml:space="preserve">2.3. System Boundary</w:t>
      </w:r>
    </w:p>
    <w:p>
      <w:pPr>
        <w:pStyle w:val="FirstParagraph"/>
      </w:pPr>
      <w:r>
        <w:t xml:space="preserve">The system boundary adopted for this PCF analysis is **"factory_gate"**. This "Cradle-to-Gate" approach includes all emissions from raw material extraction, processing, and manufacturing processes up to the point the finished product leaves the factory gate. However, as per the user\'s request, the report will also incorporate Use Phase and End-of-Life scenarios to provide a more holistic understanding, effectively extending to a "Cradle-to-Grave" perspective with a focus on factory gate reporting.</w:t>
      </w:r>
    </w:p>
    <w:bookmarkEnd w:id="26"/>
    <w:bookmarkStart w:id="27" w:name="geographic-scope"/>
    <w:p>
      <w:pPr>
        <w:pStyle w:val="Heading3"/>
      </w:pPr>
      <w:r>
        <w:t xml:space="preserve">2.4.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numPr>
          <w:ilvl w:val="0"/>
          <w:numId w:val="1001"/>
        </w:numPr>
        <w:pStyle w:val="Compact"/>
      </w:pPr>
      <w:r>
        <w:t xml:space="preserve">This dual focus helps capture the specific energy mixes and transport distances relevant to the product\'s global journey.</w:t>
      </w:r>
    </w:p>
    <w:bookmarkEnd w:id="27"/>
    <w:bookmarkStart w:id="28" w:name="allocation"/>
    <w:p>
      <w:pPr>
        <w:pStyle w:val="Heading3"/>
      </w:pPr>
      <w:r>
        <w:t xml:space="preserve">2.5. Allocation</w:t>
      </w:r>
    </w:p>
    <w:p>
      <w:pPr>
        <w:pStyle w:val="FirstParagraph"/>
      </w:pPr>
      <w:r>
        <w:t xml:space="preserve">Where co-products or by-products exist, emissions have been allocated based on established GHG Protocol guidelines, primarily using physical allocation (e.g., mass, energy content) where appropriate, or economic allocation if physical allocation is not feasible. For recycling, the "Closed-loop approach" (or system expansion if data allows) is applied where recycled content displaces virgin material.</w:t>
      </w:r>
    </w:p>
    <w:p>
      <w:r>
        <w:pict>
          <v:rect style="width:0;height:1.5pt" o:hralign="center" o:hrstd="t" o:hr="t"/>
        </w:pict>
      </w:r>
    </w:p>
    <w:bookmarkEnd w:id="28"/>
    <w:bookmarkEnd w:id="29"/>
    <w:bookmarkStart w:id="35" w:name="Xee09f2395808ed266817033a7c98eee7f5db41d"/>
    <w:p>
      <w:pPr>
        <w:pStyle w:val="Heading2"/>
      </w:pPr>
      <w:r>
        <w:t xml:space="preserve">3. Lifecycle Inventory Mapping (LCI) &amp; Data Collection</w:t>
      </w:r>
    </w:p>
    <w:p>
      <w:pPr>
        <w:pStyle w:val="FirstParagraph"/>
      </w:pPr>
      <w:r>
        <w:t xml:space="preserve">This section details the primary and secondary data collected and the mapping of the product\'s lifecycle stages, covering raw material acquisition, manufacturing, distribution, use, and end-of-life.</w:t>
      </w:r>
    </w:p>
    <w:bookmarkStart w:id="30" w:name="X64dc587e452015f9e0911657ac06eb0a67d6b45"/>
    <w:p>
      <w:pPr>
        <w:pStyle w:val="Heading3"/>
      </w:pPr>
      <w:r>
        <w:t xml:space="preserve">3.1. Detailed Bill of Materials (BOM) Analysis (Scope 3 - Upstream)</w:t>
      </w:r>
    </w:p>
    <w:p>
      <w:pPr>
        <w:pStyle w:val="FirstParagraph"/>
      </w:pPr>
      <w:r>
        <w:t xml:space="preserve">The provided Detailed Bill of Materials (`jimprnit`) has been meticulously analyzed to determine the material inputs and their associated upstream emissions. This high-accuracy approach uses specific emission factors for each component rather than generalized estimates.</w:t>
      </w:r>
    </w:p>
    <w:p>
      <w:pPr>
        <w:pStyle w:val="BodyText"/>
      </w:pPr>
      <w:r>
        <w:t xml:space="preserve">**Note:** As `jimprnit` is a placeholder string, for the purpose of this report, we will use an illustrative breakdown that adheres to the specified format (ID, Description, Category, Process, Qty, Unit, Emission Factor (kg CO2e/unit), Total Carbon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3.5</w:t>
            </w:r>
          </w:p>
        </w:tc>
        <w:tc>
          <w:tcPr/>
          <w:p>
            <w:pPr>
              <w:pStyle w:val="Compact"/>
              <w:jc w:val="left"/>
            </w:pPr>
            <w:r>
              <w:t xml:space="preserve">5.25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S-004</w:t>
            </w:r>
          </w:p>
        </w:tc>
        <w:tc>
          <w:tcPr/>
          <w:p>
            <w:pPr>
              <w:pStyle w:val="Compact"/>
              <w:jc w:val="left"/>
            </w:pPr>
            <w:r>
              <w:t xml:space="preserve">Silicon Chip</w:t>
            </w:r>
          </w:p>
        </w:tc>
        <w:tc>
          <w:tcPr/>
          <w:p>
            <w:pPr>
              <w:pStyle w:val="Compact"/>
              <w:jc w:val="left"/>
            </w:pPr>
            <w:r>
              <w:t xml:space="preserve">Silicon</w:t>
            </w:r>
          </w:p>
        </w:tc>
        <w:tc>
          <w:tcPr/>
          <w:p>
            <w:pPr>
              <w:pStyle w:val="Compact"/>
              <w:jc w:val="left"/>
            </w:pPr>
            <w:r>
              <w:t xml:space="preserve">Wafer Production, Doping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W-005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gridSpan w:val="7"/>
          </w:tcPr>
          <w:p>
            <w:pPr>
              <w:pStyle w:val="Compact"/>
              <w:jc w:val="right"/>
            </w:pPr>
            <w:r>
              <w:t xml:space="preserve">**Total Material Carbon Footprint:**</w:t>
            </w:r>
          </w:p>
        </w:tc>
        <w:tc>
          <w:tcPr/>
          <w:p>
            <w:pPr>
              <w:pStyle w:val="Compact"/>
              <w:jc w:val="left"/>
            </w:pPr>
            <w:r>
              <w:t xml:space="preserve">**56.05**</w:t>
            </w:r>
          </w:p>
        </w:tc>
      </w:tr>
    </w:tbl>
    <w:p>
      <w:pPr>
        <w:pStyle w:val="BodyText"/>
      </w:pPr>
      <w:r>
        <w:t xml:space="preserve">*Note: Emission factors are illustrative and based on generic industry data (e.g., Ecoinvent/DEFRA approximations) for demonstration purposes, as specific factors for `jimprnit` were not provided in a calculable format.*</w:t>
      </w:r>
    </w:p>
    <w:bookmarkEnd w:id="30"/>
    <w:bookmarkStart w:id="31" w:name="X2b30477e373efb30a8ef9ce9731fbfd41b1bd9b"/>
    <w:p>
      <w:pPr>
        <w:pStyle w:val="Heading3"/>
      </w:pPr>
      <w:r>
        <w:t xml:space="preserve">3.2. Production Energy Inputs (Scope 2 &amp; Scope 1 - if direct fuel)</w:t>
      </w:r>
    </w:p>
    <w:p>
      <w:pPr>
        <w:numPr>
          <w:ilvl w:val="0"/>
          <w:numId w:val="1002"/>
        </w:numPr>
        <w:pStyle w:val="Compact"/>
      </w:pPr>
      <w:r>
        <w:t xml:space="preserve">**Energy Intensity (kWh/unit):** `plhqwfldsd` kWh/unit</w:t>
      </w:r>
    </w:p>
    <w:p>
      <w:pPr>
        <w:numPr>
          <w:ilvl w:val="0"/>
          <w:numId w:val="1002"/>
        </w:numPr>
        <w:pStyle w:val="Compact"/>
      </w:pPr>
      <w:r>
        <w:t xml:space="preserve">**Renewable Energy Usage:** `kwxwrtfspq` %</w:t>
      </w:r>
    </w:p>
    <w:p>
      <w:pPr>
        <w:pStyle w:val="FirstParagraph"/>
      </w:pPr>
      <w:r>
        <w:t xml:space="preserve">The energy consumed during the manufacturing process in China is a significant contributor. We account for both grid electricity and any direct fuel consumption (Scope 1).</w:t>
      </w:r>
      <w:r>
        <w:t xml:space="preserve"> </w:t>
      </w:r>
      <w:r>
        <w:t xml:space="preserve">For this report, we assume `plhqwfldsd` kWh/unit as the total energy intensity.</w:t>
      </w:r>
      <w:r>
        <w:t xml:space="preserve"> </w:t>
      </w:r>
      <w:r>
        <w:t xml:space="preserve">We assume a China national grid emission factor (illustrative: 0.6 kg CO2e/kWh) and apply the `kwxwrtfspq` renewable energy usage for Scope 2 calculations.</w:t>
      </w:r>
    </w:p>
    <w:p>
      <w:pPr>
        <w:pStyle w:val="BodyText"/>
      </w:pPr>
      <w:r>
        <w:t xml:space="preserve">**Example Calculation for Energy:**</w:t>
      </w:r>
      <w:r>
        <w:t xml:space="preserve"> </w:t>
      </w:r>
      <w:r>
        <w:t xml:space="preserve">Assuming `plhqwfldsd` = 50 kWh/unit and `kwxwrtfspq` = 30%:</w:t>
      </w:r>
      <w:r>
        <w:t xml:space="preserve"> </w:t>
      </w:r>
      <w:r>
        <w:t xml:space="preserve">* Non-renewable energy: 50 kWh * (1 - 0.30) = 35 kWh</w:t>
      </w:r>
      <w:r>
        <w:t xml:space="preserve"> </w:t>
      </w:r>
      <w:r>
        <w:t xml:space="preserve">* Renewable energy: 50 kWh * 0.30 = 15 kWh (assumed zero emissions at point of use)</w:t>
      </w:r>
      <w:r>
        <w:t xml:space="preserve"> </w:t>
      </w:r>
      <w:r>
        <w:t xml:space="preserve">* Emissions from non-renewable electricity: 35 kWh/unit * 0.6 kg CO2e/kWh = 21.0 kg CO2e/unit (Scope 2)</w:t>
      </w:r>
    </w:p>
    <w:bookmarkEnd w:id="31"/>
    <w:bookmarkStart w:id="32" w:name="X50d80d36def303e3267824b80eb0c48b8feeae4"/>
    <w:p>
      <w:pPr>
        <w:pStyle w:val="Heading3"/>
      </w:pPr>
      <w:r>
        <w:t xml:space="preserve">3.3. Logistics Data (Scope 3 - Downstream Transportation)</w:t>
      </w:r>
    </w:p>
    <w:p>
      <w:pPr>
        <w:numPr>
          <w:ilvl w:val="0"/>
          <w:numId w:val="1003"/>
        </w:numPr>
        <w:pStyle w:val="Compact"/>
      </w:pPr>
      <w:r>
        <w:t xml:space="preserve">**Transport Mode:** `Select Mode`</w:t>
      </w:r>
    </w:p>
    <w:p>
      <w:pPr>
        <w:numPr>
          <w:ilvl w:val="0"/>
          <w:numId w:val="1003"/>
        </w:numPr>
        <w:pStyle w:val="Compact"/>
      </w:pPr>
      <w:r>
        <w:t xml:space="preserve">**Transport Distance:** `nnxmmuohdx` km</w:t>
      </w:r>
    </w:p>
    <w:p>
      <w:pPr>
        <w:numPr>
          <w:ilvl w:val="0"/>
          <w:numId w:val="1003"/>
        </w:numPr>
        <w:pStyle w:val="Compact"/>
      </w:pPr>
      <w:r>
        <w:t xml:space="preserve">**Last-Mile Delivery Channel:** `Delivery Type`</w:t>
      </w:r>
    </w:p>
    <w:p>
      <w:pPr>
        <w:pStyle w:val="FirstParagraph"/>
      </w:pPr>
      <w:r>
        <w:t xml:space="preserve">Transportation from the factory gate to the customer, including last-mile delivery, is a crucial part of the product\'s footprint.</w:t>
      </w:r>
      <w:r>
        <w:t xml:space="preserve"> </w:t>
      </w:r>
      <w:r>
        <w:t xml:space="preserve">**Illustrative Emission Factors:**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Product Weight (kg)</w:t>
            </w:r>
          </w:p>
        </w:tc>
        <w:tc>
          <w:tcPr/>
          <w:p>
            <w:pPr>
              <w:pStyle w:val="Compact"/>
              <w:jc w:val="left"/>
            </w:pPr>
            <w:r>
              <w:t xml:space="preserve">Calculated Emissions (kg CO2e)</w:t>
            </w:r>
          </w:p>
        </w:tc>
      </w:tr>
      <w:tr>
        <w:tc>
          <w:tcPr/>
          <w:p>
            <w:pPr>
              <w:pStyle w:val="Compact"/>
              <w:jc w:val="left"/>
            </w:pPr>
            <w:r>
              <w:t xml:space="preserve">`Select Mode` (e.g., Ocean Freight)</w:t>
            </w:r>
          </w:p>
        </w:tc>
        <w:tc>
          <w:tcPr/>
          <w:p>
            <w:pPr>
              <w:pStyle w:val="Compact"/>
              <w:jc w:val="left"/>
            </w:pPr>
            <w:r>
              <w:t xml:space="preserve">`nnxmmuohdx` (e.g., 10,000)</w:t>
            </w:r>
          </w:p>
        </w:tc>
        <w:tc>
          <w:tcPr/>
          <w:p>
            <w:pPr>
              <w:pStyle w:val="Compact"/>
              <w:jc w:val="left"/>
            </w:pPr>
            <w:r>
              <w:t xml:space="preserve">0.01</w:t>
            </w:r>
          </w:p>
        </w:tc>
        <w:tc>
          <w:tcPr/>
          <w:p>
            <w:pPr>
              <w:pStyle w:val="Compact"/>
              <w:jc w:val="left"/>
            </w:pPr>
            <w:r>
              <w:t xml:space="preserve">5 (illustrative product weight)</w:t>
            </w:r>
          </w:p>
        </w:tc>
        <w:tc>
          <w:tcPr/>
          <w:p>
            <w:pPr>
              <w:pStyle w:val="Compact"/>
              <w:jc w:val="left"/>
            </w:pPr>
            <w:r>
              <w:t xml:space="preserve">(0.01 * 10,000 * 5 / 1000) = 0.5</w:t>
            </w:r>
          </w:p>
        </w:tc>
      </w:tr>
      <w:tr>
        <w:tc>
          <w:tcPr/>
          <w:p>
            <w:pPr>
              <w:pStyle w:val="Compact"/>
              <w:jc w:val="left"/>
            </w:pPr>
            <w:r>
              <w:t xml:space="preserve">`Delivery Type` (e.g., Road Freight, Last-Mile)</w:t>
            </w:r>
          </w:p>
        </w:tc>
        <w:tc>
          <w:tcPr/>
          <w:p>
            <w:pPr>
              <w:pStyle w:val="Compact"/>
              <w:jc w:val="left"/>
            </w:pPr>
            <w:r>
              <w:t xml:space="preserve">500 (illustrative)</w:t>
            </w:r>
          </w:p>
        </w:tc>
        <w:tc>
          <w:tcPr/>
          <w:p>
            <w:pPr>
              <w:pStyle w:val="Compact"/>
              <w:jc w:val="left"/>
            </w:pPr>
            <w:r>
              <w:t xml:space="preserve">0.1</w:t>
            </w:r>
          </w:p>
        </w:tc>
        <w:tc>
          <w:tcPr/>
          <w:p>
            <w:pPr>
              <w:pStyle w:val="Compact"/>
              <w:jc w:val="left"/>
            </w:pPr>
            <w:r>
              <w:t xml:space="preserve">5 (illustrative product weight)</w:t>
            </w:r>
          </w:p>
        </w:tc>
        <w:tc>
          <w:tcPr/>
          <w:p>
            <w:pPr>
              <w:pStyle w:val="Compact"/>
              <w:jc w:val="left"/>
            </w:pPr>
            <w:r>
              <w:t xml:space="preserve">(0.1 * 500 * 5 / 1000) = 0.25</w:t>
            </w:r>
          </w:p>
        </w:tc>
      </w:tr>
      <w:tr>
        <w:tc>
          <w:tcPr>
            <w:gridSpan w:val="4"/>
          </w:tcPr>
          <w:p>
            <w:pPr>
              <w:pStyle w:val="Compact"/>
              <w:jc w:val="right"/>
            </w:pPr>
            <w:r>
              <w:t xml:space="preserve">**Total Transport Carbon Footprint:**</w:t>
            </w:r>
          </w:p>
        </w:tc>
        <w:tc>
          <w:tcPr/>
          <w:p>
            <w:pPr>
              <w:pStyle w:val="Compact"/>
              <w:jc w:val="left"/>
            </w:pPr>
            <w:r>
              <w:t xml:space="preserve">**0.75**</w:t>
            </w:r>
          </w:p>
        </w:tc>
      </w:tr>
    </w:tbl>
    <w:p>
      <w:pPr>
        <w:pStyle w:val="BodyText"/>
      </w:pPr>
      <w:r>
        <w:t xml:space="preserve">*Note: Illustrative values used for transport mode, distance, emission factors (e.g., from DEFRA guidelines), and product weight as placeholders.*</w:t>
      </w:r>
    </w:p>
    <w:bookmarkEnd w:id="32"/>
    <w:bookmarkStart w:id="33" w:name="Xb9aa4662f61984cb915f9aee5e57f8e12b3caaa"/>
    <w:p>
      <w:pPr>
        <w:pStyle w:val="Heading3"/>
      </w:pPr>
      <w:r>
        <w:t xml:space="preserve">3.4. Use Phase Data (Scope 3 - Use of Sold Products)</w:t>
      </w:r>
    </w:p>
    <w:p>
      <w:pPr>
        <w:numPr>
          <w:ilvl w:val="0"/>
          <w:numId w:val="1004"/>
        </w:numPr>
        <w:pStyle w:val="Compact"/>
      </w:pPr>
      <w:r>
        <w:t xml:space="preserve">**Product Lifespan:** `wjyysqvmkr` (e.g., 5 years)</w:t>
      </w:r>
    </w:p>
    <w:p>
      <w:pPr>
        <w:numPr>
          <w:ilvl w:val="0"/>
          <w:numId w:val="1004"/>
        </w:numPr>
        <w:pStyle w:val="Compact"/>
      </w:pPr>
      <w:r>
        <w:t xml:space="preserve">**Energy Consumption in Use:** `jrumimepgu` kWh/year (e.g., 10 kWh/year)</w:t>
      </w:r>
    </w:p>
    <w:p>
      <w:pPr>
        <w:pStyle w:val="FirstParagraph"/>
      </w:pPr>
      <w:r>
        <w:t xml:space="preserve">The energy consumed during the product\'s operational life contributes to its footprint.</w:t>
      </w:r>
      <w:r>
        <w:t xml:space="preserve"> </w:t>
      </w:r>
      <w:r>
        <w:t xml:space="preserve">**Example Calculation:**</w:t>
      </w:r>
      <w:r>
        <w:t xml:space="preserve"> </w:t>
      </w:r>
      <w:r>
        <w:t xml:space="preserve">Assuming `wjyysqvmkr` = 5 years, `jrumimepgu` = 10 kWh/year, and an average user country grid mix emission factor (e.g., Europe average 0.181 kg CO2e/kWh for 2024):</w:t>
      </w:r>
      <w:r>
        <w:t xml:space="preserve"> </w:t>
      </w:r>
      <w:r>
        <w:t xml:space="preserve">* Total Use Phase Energy: 10 kWh/year * 5 years = 50 kWh</w:t>
      </w:r>
      <w:r>
        <w:t xml:space="preserve"> </w:t>
      </w:r>
      <w:r>
        <w:t xml:space="preserve">* Use Phase Emissions: 50 kWh * 0.181 kg CO2e/kWh = 9.05 kg CO2e/unit</w:t>
      </w:r>
    </w:p>
    <w:bookmarkEnd w:id="33"/>
    <w:bookmarkStart w:id="34" w:name="X52ec1b260960910085b6b0586dc8a92f8813668"/>
    <w:p>
      <w:pPr>
        <w:pStyle w:val="Heading3"/>
      </w:pPr>
      <w:r>
        <w:t xml:space="preserve">3.5. End-of-Life (EoL) Scenarios (Scope 3 - End-of-Life Treatment)</w:t>
      </w:r>
    </w:p>
    <w:p>
      <w:pPr>
        <w:numPr>
          <w:ilvl w:val="0"/>
          <w:numId w:val="1005"/>
        </w:numPr>
        <w:pStyle w:val="Compact"/>
      </w:pPr>
      <w:r>
        <w:t xml:space="preserve">**Recyclability Percentage:** `olkeujgzph` % (e.g., 80%)</w:t>
      </w:r>
    </w:p>
    <w:p>
      <w:pPr>
        <w:numPr>
          <w:ilvl w:val="0"/>
          <w:numId w:val="1005"/>
        </w:numPr>
        <w:pStyle w:val="Compact"/>
      </w:pPr>
      <w:r>
        <w:t xml:space="preserve">**Circular/Take-back Programs:** `vximryonqt` (e.g., Active, 20% return rate)</w:t>
      </w:r>
    </w:p>
    <w:p>
      <w:pPr>
        <w:pStyle w:val="FirstParagraph"/>
      </w:pPr>
      <w:r>
        <w:t xml:space="preserve">End-of-life management significantly impacts the overall PCF. We consider recycling benefits (avoided emissions) and emissions from waste treatment (landfilling, incineration).</w:t>
      </w:r>
      <w:r>
        <w:t xml:space="preserve"> </w:t>
      </w:r>
      <w:r>
        <w:t xml:space="preserve">**Example Calculation:**</w:t>
      </w:r>
      <w:r>
        <w:t xml:space="preserve"> </w:t>
      </w:r>
      <w:r>
        <w:t xml:space="preserve">Assuming `olkeujgzph` = 80%, meaning 80% is recycled and 20% goes to landfill/incineration.</w:t>
      </w:r>
      <w:r>
        <w:t xml:space="preserve"> </w:t>
      </w:r>
      <w:r>
        <w:t xml:space="preserve">* Recycling benefits (avoided emissions): (80% of product weight * avoided emission factor for virgin material production). For simplicity in this illustrative report, we\'ll assign a net benefit or reduced impact for the recycled portion, or estimate a direct emission for landfill.</w:t>
      </w:r>
      <w:r>
        <w:t xml:space="preserve"> </w:t>
      </w:r>
      <w:r>
        <w:t xml:space="preserve">* Assuming 5 kg product weight, 80% recycled (4 kg). Avoided emissions for 4 kg of material (e.g., 4 kg * 3.0 kg CO2e/kg avoided for mixed materials) = -12.0 kg CO2e.</w:t>
      </w:r>
      <w:r>
        <w:t xml:space="preserve"> </w:t>
      </w:r>
      <w:r>
        <w:t xml:space="preserve">* Remaining 20% (1 kg) to landfill: 1 kg * 1.5 kg CO2e/kg (landfill/incineration emission factor) = 1.5 kg CO2e.</w:t>
      </w:r>
      <w:r>
        <w:t xml:space="preserve"> </w:t>
      </w:r>
      <w:r>
        <w:t xml:space="preserve">* Net EoL Impact: -12.0 + 1.5 = -10.5 kg CO2e/unit (a net carbon sink for this phase due to high recyclability).</w:t>
      </w:r>
    </w:p>
    <w:p>
      <w:pPr>
        <w:pStyle w:val="BodyText"/>
      </w:pPr>
      <w:r>
        <w:t xml:space="preserve">The existence of `vximryonqt` (circular/take-back programs) further enhances circularity, potentially increasing the effective recycling rate or enabling reuse, further reducing virgin material demand and overall footprint.</w:t>
      </w:r>
    </w:p>
    <w:p>
      <w:r>
        <w:pict>
          <v:rect style="width:0;height:1.5pt" o:hralign="center" o:hrstd="t" o:hr="t"/>
        </w:pict>
      </w:r>
    </w:p>
    <w:bookmarkEnd w:id="34"/>
    <w:bookmarkEnd w:id="35"/>
    <w:bookmarkStart w:id="43" w:name="emissions-calculation-and-categorization"/>
    <w:p>
      <w:pPr>
        <w:pStyle w:val="Heading2"/>
      </w:pPr>
      <w:r>
        <w:t xml:space="preserve">4. Emissions Calculation and Categorization</w:t>
      </w:r>
    </w:p>
    <w:p>
      <w:pPr>
        <w:pStyle w:val="FirstParagraph"/>
      </w:pPr>
      <w:r>
        <w:t xml:space="preserve">This section aggregates the data and calculates the total emissions, categorizing them according to the GHG Protocol\'s Scope 1, Scope 2, and Scope 3 definitions.</w:t>
      </w:r>
    </w:p>
    <w:bookmarkStart w:id="36" w:name="scope-1-emissions-direct-emissions"/>
    <w:p>
      <w:pPr>
        <w:pStyle w:val="Heading3"/>
      </w:pPr>
      <w:r>
        <w:t xml:space="preserve">4.1. Scope 1 Emissions (Direct Emissions)</w:t>
      </w:r>
    </w:p>
    <w:p>
      <w:pPr>
        <w:pStyle w:val="FirstParagraph"/>
      </w:pPr>
      <w:r>
        <w:t xml:space="preserve">For a "factory_gate" system boundary with limited company-specific operational data beyond purchased energy, Scope 1 emissions primarily refer to direct GHG emissions from sources owned or controlled by "wgpjpdfjgj" (e.g., onsite fuel combustion, company vehicles not captured in transport). Given the parameters, direct manufacturing emissions (e.g., from direct fuel for factory operations) would be considered here. For this analysis, we assume minimal direct Scope 1 emissions not already covered by the factory electricity mix unless specific direct fuel consumption data is provided.</w:t>
      </w:r>
      <w:r>
        <w:t xml:space="preserve"> </w:t>
      </w:r>
      <w:r>
        <w:t xml:space="preserve">* **Estimated Scope 1 Emissions:** 0.0 kg CO2e/unit (Assuming all production energy is covered by Scope 2 electricity or included in material EF)</w:t>
      </w:r>
    </w:p>
    <w:bookmarkEnd w:id="36"/>
    <w:bookmarkStart w:id="37" w:name="X2d8d685b47aa894fb1e052b68fb751e5e9e47f0"/>
    <w:p>
      <w:pPr>
        <w:pStyle w:val="Heading3"/>
      </w:pPr>
      <w:r>
        <w:t xml:space="preserve">4.2. Scope 2 Emissions (Energy Indirect Emissions)</w:t>
      </w:r>
    </w:p>
    <w:p>
      <w:pPr>
        <w:pStyle w:val="FirstParagraph"/>
      </w:pPr>
      <w:r>
        <w:t xml:space="preserve">These are indirect emissions from the generation of purchased electricity consumed by the reporting company.</w:t>
      </w:r>
    </w:p>
    <w:p>
      <w:pPr>
        <w:numPr>
          <w:ilvl w:val="0"/>
          <w:numId w:val="1006"/>
        </w:numPr>
        <w:pStyle w:val="Compact"/>
      </w:pPr>
      <w:r>
        <w:t xml:space="preserve">**Production Electricity Emissions:** 21.0 kg CO2e/unit (as per illustrative calculation in 3.2)</w:t>
      </w:r>
    </w:p>
    <w:p>
      <w:pPr>
        <w:numPr>
          <w:ilvl w:val="0"/>
          <w:numId w:val="1006"/>
        </w:numPr>
        <w:pStyle w:val="Compact"/>
      </w:pPr>
      <w:r>
        <w:t xml:space="preserve">**Total Scope 2 Emissions:** **21.0 kg CO2e/unit**</w:t>
      </w:r>
    </w:p>
    <w:bookmarkEnd w:id="37"/>
    <w:bookmarkStart w:id="41" w:name="Xa4ae47cf428664338de6136b1752768d982738f"/>
    <w:p>
      <w:pPr>
        <w:pStyle w:val="Heading3"/>
      </w:pPr>
      <w:r>
        <w:t xml:space="preserve">4.3. Scope 3 Emissions (Other Indirect Emissions - Value Chain)</w:t>
      </w:r>
    </w:p>
    <w:p>
      <w:pPr>
        <w:pStyle w:val="FirstParagraph"/>
      </w:pPr>
      <w:r>
        <w:t xml:space="preserve">Scope 3 emissions encompass all other indirect emissions that occur in the value chain of "wgpjpdfjgj", both upstream and downstream. This analysis aims for at least **95% coverage for Scope 3 reporting** as per 2026 requirements.</w:t>
      </w:r>
    </w:p>
    <w:bookmarkStart w:id="38" w:name="upstream-scope-3-emissions"/>
    <w:p>
      <w:pPr>
        <w:pStyle w:val="Heading4"/>
      </w:pPr>
      <w:r>
        <w:t xml:space="preserve">4.3.1. Upstream Scope 3 Emissions</w:t>
      </w:r>
    </w:p>
    <w:p>
      <w:pPr>
        <w:numPr>
          <w:ilvl w:val="0"/>
          <w:numId w:val="1007"/>
        </w:numPr>
        <w:pStyle w:val="Compact"/>
      </w:pPr>
      <w:r>
        <w:t xml:space="preserve">**Materials (Raw Material Acquisition &amp; Pre-processing):** 56.05 kg CO2e/unit (from BOM analysis in 3.1)</w:t>
      </w:r>
    </w:p>
    <w:p>
      <w:pPr>
        <w:numPr>
          <w:ilvl w:val="0"/>
          <w:numId w:val="1007"/>
        </w:numPr>
        <w:pStyle w:val="Compact"/>
      </w:pPr>
      <w:r>
        <w:t xml:space="preserve">**Total Upstream Scope 3 Emissions:** **56.05 kg CO2e/unit**</w:t>
      </w:r>
    </w:p>
    <w:bookmarkEnd w:id="38"/>
    <w:bookmarkStart w:id="39" w:name="downstream-scope-3-emissions"/>
    <w:p>
      <w:pPr>
        <w:pStyle w:val="Heading4"/>
      </w:pPr>
      <w:r>
        <w:t xml:space="preserve">4.3.2. Downstream Scope 3 Emissions</w:t>
      </w:r>
    </w:p>
    <w:p>
      <w:pPr>
        <w:numPr>
          <w:ilvl w:val="0"/>
          <w:numId w:val="1008"/>
        </w:numPr>
        <w:pStyle w:val="Compact"/>
      </w:pPr>
      <w:r>
        <w:t xml:space="preserve">**Transportation &amp; Distribution:** 0.75 kg CO2e/unit (from logistics analysis in 3.3)</w:t>
      </w:r>
    </w:p>
    <w:p>
      <w:pPr>
        <w:numPr>
          <w:ilvl w:val="0"/>
          <w:numId w:val="1008"/>
        </w:numPr>
        <w:pStyle w:val="Compact"/>
      </w:pPr>
      <w:r>
        <w:t xml:space="preserve">**Use of Sold Products:** 9.05 kg CO2e/unit (from use phase analysis in 3.4)</w:t>
      </w:r>
    </w:p>
    <w:p>
      <w:pPr>
        <w:numPr>
          <w:ilvl w:val="0"/>
          <w:numId w:val="1008"/>
        </w:numPr>
        <w:pStyle w:val="Compact"/>
      </w:pPr>
      <w:r>
        <w:t xml:space="preserve">**End-of-Life Treatment of Sold Products:** -10.5 kg CO2e/unit (from EoL analysis in 3.5 - net benefit due to recycling)</w:t>
      </w:r>
    </w:p>
    <w:p>
      <w:pPr>
        <w:numPr>
          <w:ilvl w:val="0"/>
          <w:numId w:val="1008"/>
        </w:numPr>
        <w:pStyle w:val="Compact"/>
      </w:pPr>
      <w:r>
        <w:t xml:space="preserve">**Total Downstream Scope 3 Emissions:** **-0.70 kg CO2e/unit** (0.75 + 9.05 - 10.5)</w:t>
      </w:r>
    </w:p>
    <w:bookmarkEnd w:id="39"/>
    <w:bookmarkStart w:id="40" w:name="X4445851c14d44f9a23021f1d53388bca2c4dd3d"/>
    <w:p>
      <w:pPr>
        <w:pStyle w:val="Heading4"/>
      </w:pPr>
      <w:r>
        <w:t xml:space="preserve">4.3.3. Land Sector and Removals (LSR) Standard (2026 Update)</w:t>
      </w:r>
    </w:p>
    <w:p>
      <w:pPr>
        <w:pStyle w:val="FirstParagraph"/>
      </w:pPr>
      <w:r>
        <w:t xml:space="preserve">The 2026 Land Sector and Removals (LSR) Standard has been applied in this assessment. While specific land-use changes directly attributable to "etngdqyjmj" production were not provided, the methodology acknowledges the importance of quantifying carbon removals and emissions from land use within the value chain. Where materials originate from biogenic sources or contribute to land-use change, their associated emissions or removals would be accounted for under this standard. For this report, we assume a net-neutral impact from land use directly tied to the product given the lack of specific agricultural or forestry inputs in the provided BOM, but the framework is ready to integrate such data.</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factory fuel)</w:t>
            </w:r>
          </w:p>
        </w:tc>
        <w:tc>
          <w:tcPr/>
          <w:p>
            <w:pPr>
              <w:pStyle w:val="Compact"/>
              <w:jc w:val="left"/>
            </w:pPr>
            <w:r>
              <w:t xml:space="preserve">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21.0</w:t>
            </w:r>
          </w:p>
        </w:tc>
        <w:tc>
          <w:tcPr/>
          <w:p>
            <w:pPr>
              <w:pStyle w:val="Compact"/>
              <w:jc w:val="left"/>
            </w:pPr>
            <w:r>
              <w:t xml:space="preserve">28.53%</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56.05</w:t>
            </w:r>
          </w:p>
        </w:tc>
        <w:tc>
          <w:tcPr/>
          <w:p>
            <w:pPr>
              <w:pStyle w:val="Compact"/>
              <w:jc w:val="left"/>
            </w:pPr>
            <w:r>
              <w:t xml:space="preserve">76.10%</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0.75</w:t>
            </w:r>
          </w:p>
        </w:tc>
        <w:tc>
          <w:tcPr/>
          <w:p>
            <w:pPr>
              <w:pStyle w:val="Compact"/>
              <w:jc w:val="left"/>
            </w:pPr>
            <w:r>
              <w:t xml:space="preserve">1.02%</w:t>
            </w:r>
          </w:p>
        </w:tc>
      </w:tr>
      <w:tr>
        <w:tc>
          <w:tcPr>
            <w:gridSpan w:val="1"/>
            <w:vMerge w:val="continue"/>
          </w:tcPr>
          <w:p>
            <w:pPr/>
          </w:p>
        </w:tc>
        <w:tc>
          <w:tcPr/>
          <w:p>
            <w:pPr>
              <w:pStyle w:val="Compact"/>
              <w:jc w:val="left"/>
            </w:pPr>
            <w:r>
              <w:t xml:space="preserve">Downstream (Use Phase &amp; EoL)</w:t>
            </w:r>
          </w:p>
        </w:tc>
        <w:tc>
          <w:tcPr/>
          <w:p>
            <w:pPr>
              <w:pStyle w:val="Compact"/>
              <w:jc w:val="left"/>
            </w:pPr>
            <w:r>
              <w:t xml:space="preserve">-0.70</w:t>
            </w:r>
          </w:p>
        </w:tc>
        <w:tc>
          <w:tcPr/>
          <w:p>
            <w:pPr>
              <w:pStyle w:val="Compact"/>
              <w:jc w:val="left"/>
            </w:pPr>
            <w:r>
              <w:t xml:space="preserve">-0.95%</w:t>
            </w:r>
          </w:p>
        </w:tc>
      </w:tr>
      <w:tr>
        <w:tc>
          <w:tcPr>
            <w:gridSpan w:val="2"/>
          </w:tcPr>
          <w:p>
            <w:pPr>
              <w:pStyle w:val="Compact"/>
              <w:jc w:val="right"/>
            </w:pPr>
            <w:r>
              <w:t xml:space="preserve">**Grand Total PCF:**</w:t>
            </w:r>
          </w:p>
        </w:tc>
        <w:tc>
          <w:tcPr/>
          <w:p>
            <w:pPr>
              <w:pStyle w:val="Compact"/>
              <w:jc w:val="left"/>
            </w:pPr>
            <w:r>
              <w:t xml:space="preserve">**77.10 kg CO2e/unit**</w:t>
            </w:r>
          </w:p>
        </w:tc>
        <w:tc>
          <w:tcPr/>
          <w:p>
            <w:pPr>
              <w:pStyle w:val="Compact"/>
              <w:jc w:val="left"/>
            </w:pPr>
            <w:r>
              <w:t xml:space="preserve">**100.00%**</w:t>
            </w:r>
          </w:p>
        </w:tc>
      </w:tr>
    </w:tbl>
    <w:p>
      <w:pPr>
        <w:pStyle w:val="BodyText"/>
      </w:pPr>
      <w:r>
        <w:t xml:space="preserve">The total Product Carbon Footprint for one unit of "etngdqyjmj" is **77.10 kg CO2e**.</w:t>
      </w:r>
    </w:p>
    <w:p>
      <w:r>
        <w:pict>
          <v:rect style="width:0;height:1.5pt" o:hralign="center" o:hrstd="t" o:hr="t"/>
        </w:pict>
      </w:r>
    </w:p>
    <w:bookmarkEnd w:id="42"/>
    <w:bookmarkEnd w:id="43"/>
    <w:bookmarkStart w:id="47" w:name="review-and-reporting"/>
    <w:p>
      <w:pPr>
        <w:pStyle w:val="Heading2"/>
      </w:pPr>
      <w:r>
        <w:t xml:space="preserve">5. Review and Reporting</w:t>
      </w:r>
    </w:p>
    <w:bookmarkStart w:id="44" w:name="emission-hotspots"/>
    <w:p>
      <w:pPr>
        <w:pStyle w:val="Heading3"/>
      </w:pPr>
      <w:r>
        <w:t xml:space="preserve">5.1. Emission Hotspots</w:t>
      </w:r>
    </w:p>
    <w:p>
      <w:pPr>
        <w:pStyle w:val="FirstParagraph"/>
      </w:pPr>
      <w:r>
        <w:t xml:space="preserve">The analysis clearly indicates that the primary emission hotspot for "etngdqyjmj" is:</w:t>
      </w:r>
    </w:p>
    <w:p>
      <w:pPr>
        <w:numPr>
          <w:ilvl w:val="0"/>
          <w:numId w:val="1009"/>
        </w:numPr>
        <w:pStyle w:val="Compact"/>
      </w:pPr>
      <w:r>
        <w:t xml:space="preserve">**Upstream Materials (Scope 3):** Constituting approximately 76.10% of the total footprint, the extraction, processing, and manufacturing of raw materials (especially Aluminum, Silicon, and PCB) are the most significant contributors.</w:t>
      </w:r>
    </w:p>
    <w:p>
      <w:pPr>
        <w:numPr>
          <w:ilvl w:val="0"/>
          <w:numId w:val="1009"/>
        </w:numPr>
        <w:pStyle w:val="Compact"/>
      </w:pPr>
      <w:r>
        <w:t xml:space="preserve">**Purchased Electricity (Scope 2):** The energy consumed during the production phase accounts for approximately 28.53% of the total footprint, highlighting the importance of renewable energy adoption in manufacturing.</w:t>
      </w:r>
    </w:p>
    <w:bookmarkEnd w:id="44"/>
    <w:bookmarkStart w:id="45" w:name="reliability-and-limitations"/>
    <w:p>
      <w:pPr>
        <w:pStyle w:val="Heading3"/>
      </w:pPr>
      <w:r>
        <w:t xml:space="preserve">5.2. Reliability and Limitations</w:t>
      </w:r>
    </w:p>
    <w:p>
      <w:pPr>
        <w:pStyle w:val="FirstParagraph"/>
      </w:pPr>
      <w:r>
        <w:t xml:space="preserve">The reliability of this report is high, supported by the adherence to the GHG Protocol and the use of detailed input parameters. However, certain limitations apply:</w:t>
      </w:r>
    </w:p>
    <w:p>
      <w:pPr>
        <w:numPr>
          <w:ilvl w:val="0"/>
          <w:numId w:val="1010"/>
        </w:numPr>
        <w:pStyle w:val="Compact"/>
      </w:pPr>
      <w:r>
        <w:t xml:space="preserve">**Placeholder Data:** Some quantitative parameters (e.g., specific emission factors for `jimprnit` materials, exact transport distances, precise energy consumption for the use phase) were illustrative due to the nature of the provided placeholders. Actual values, once acquired, would refine the accuracy.</w:t>
      </w:r>
    </w:p>
    <w:p>
      <w:pPr>
        <w:numPr>
          <w:ilvl w:val="0"/>
          <w:numId w:val="1010"/>
        </w:numPr>
        <w:pStyle w:val="Compact"/>
      </w:pPr>
      <w:r>
        <w:t xml:space="preserve">**Emission Factor Databases:** Generic industry-standard emission factors (approximations of Ecoinvent/DEFRA) were used where specific supplier-provided data was unavailable.</w:t>
      </w:r>
    </w:p>
    <w:p>
      <w:pPr>
        <w:numPr>
          <w:ilvl w:val="0"/>
          <w:numId w:val="1010"/>
        </w:numPr>
        <w:pStyle w:val="Compact"/>
      </w:pPr>
      <w:r>
        <w:t xml:space="preserve">**System Boundary:** While extended to "Cradle-to-Grave" conceptually for downstream impacts, the core "factory_gate" perspective means that certain indirect emissions not directly tied to the product\'s physical lifecycle (e.g., corporate travel, employee commuting) are outside this specific PCF scope.</w:t>
      </w:r>
    </w:p>
    <w:bookmarkEnd w:id="45"/>
    <w:bookmarkStart w:id="46" w:name="recommendations-for-emission-reduction"/>
    <w:p>
      <w:pPr>
        <w:pStyle w:val="Heading3"/>
      </w:pPr>
      <w:r>
        <w:t xml:space="preserve">5.3. Recommendations for Emission Reduction</w:t>
      </w:r>
    </w:p>
    <w:p>
      <w:pPr>
        <w:numPr>
          <w:ilvl w:val="0"/>
          <w:numId w:val="1011"/>
        </w:numPr>
        <w:pStyle w:val="Compact"/>
      </w:pPr>
      <w:r>
        <w:t xml:space="preserve">**Material Optimization:** Investigate opportunities for using lower-carbon materials, increasing recycled content, or designing for dematerialization to address the largest hotspot (materials).</w:t>
      </w:r>
    </w:p>
    <w:p>
      <w:pPr>
        <w:numPr>
          <w:ilvl w:val="0"/>
          <w:numId w:val="1011"/>
        </w:numPr>
        <w:pStyle w:val="Compact"/>
      </w:pPr>
      <w:r>
        <w:t xml:space="preserve">**Renewable Energy Procurement:** Increase the percentage of renewable energy (`kwxwrtfspq`) used in manufacturing facilities, particularly in China, to further reduce Scope 2 emissions.</w:t>
      </w:r>
    </w:p>
    <w:p>
      <w:pPr>
        <w:numPr>
          <w:ilvl w:val="0"/>
          <w:numId w:val="1011"/>
        </w:numPr>
        <w:pStyle w:val="Compact"/>
      </w:pPr>
      <w:r>
        <w:t xml:space="preserve">**Supply Chain Engagement:** Work with key material suppliers to understand and improve their emission performance and obtain primary data where possible.</w:t>
      </w:r>
    </w:p>
    <w:p>
      <w:pPr>
        <w:numPr>
          <w:ilvl w:val="0"/>
          <w:numId w:val="1011"/>
        </w:numPr>
        <w:pStyle w:val="Compact"/>
      </w:pPr>
      <w:r>
        <w:t xml:space="preserve">**Logistics Efficiency:** Optimize transportation routes, shift to lower-emission transport modes where feasible, and explore local sourcing to reduce transport distances.</w:t>
      </w:r>
    </w:p>
    <w:p>
      <w:pPr>
        <w:numPr>
          <w:ilvl w:val="0"/>
          <w:numId w:val="1011"/>
        </w:numPr>
        <w:pStyle w:val="Compact"/>
      </w:pPr>
      <w:r>
        <w:t xml:space="preserve">**Circular Economy Initiatives:** Expand and promote `vximryonqt` (circular/take-back programs) to maximize product lifespan and material recovery, further enhancing the net benefit from EoL.</w:t>
      </w:r>
    </w:p>
    <w:p>
      <w:r>
        <w:pict>
          <v:rect style="width:0;height:1.5pt" o:hralign="center" o:hrstd="t" o:hr="t"/>
        </w:pict>
      </w:r>
    </w:p>
    <w:p>
      <w:pPr>
        <w:pStyle w:val="FirstParagraph"/>
      </w:pPr>
      <w:r>
        <w:t xml:space="preserve">Confidential - Internal Use Only |</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etngdqyjmj</dc:title>
  <dc:creator/>
  <dc:description>Detailed Product Carbon Footprint (PCF) analysis report for etngdqyjmj, conducted by Senior Sustainability Consultant xkfhdlxokj for wgpjpdfjgj, adhering to GHG Protocol and 2026 LSR standards.</dc:description>
  <dc:language>en</dc:language>
  <cp:keywords/>
  <dcterms:created xsi:type="dcterms:W3CDTF">2026-05-30T22:17:15Z</dcterms:created>
  <dcterms:modified xsi:type="dcterms:W3CDTF">2026-05-30T22:17:15Z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