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etfhtdoily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etfhtdoily</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mzldtxiopz</w:t>
      </w:r>
    </w:p>
    <w:p>
      <w:pPr>
        <w:pStyle w:val="BodyText"/>
      </w:pPr>
      <w:r>
        <w:rPr>
          <w:bCs/>
          <w:b/>
        </w:rPr>
        <w:t xml:space="preserve">Senior Sustainability Consultant:</w:t>
      </w:r>
      <w:r>
        <w:t xml:space="preserve"> </w:t>
      </w:r>
      <w:r>
        <w:t xml:space="preserve">nhvhhskttp</w:t>
      </w:r>
    </w:p>
    <w:p>
      <w:pPr>
        <w:pStyle w:val="BodyText"/>
      </w:pPr>
      <w:r>
        <w:t xml:space="preserve">This report is generated based on available data and industry standards. While every effort has been made to ensure accuracy, actual emissions may vary depending on specific operational details and evolving methodologies.</w:t>
      </w:r>
    </w:p>
    <w:bookmarkEnd w:id="20"/>
    <w:p>
      <w:pPr>
        <w:pStyle w:val="BodyText"/>
      </w:pPr>
      <w:r>
        <w:t xml:space="preserve">Product Carbon Footprint Analysis for etfhtdoily</w:t>
      </w:r>
    </w:p>
    <w:p>
      <w:pPr>
        <w:pStyle w:val="BodyText"/>
      </w:pPr>
      <w:r>
        <w:t xml:space="preserve">Generated Date: May 22, 2026</w:t>
      </w:r>
    </w:p>
    <w:bookmarkStart w:id="21" w:name="executive-summary"/>
    <w:p>
      <w:pPr>
        <w:pStyle w:val="Heading2"/>
      </w:pPr>
      <w:r>
        <w:t xml:space="preserve">Executive Summary</w:t>
      </w:r>
    </w:p>
    <w:p>
      <w:pPr>
        <w:pStyle w:val="FirstParagraph"/>
      </w:pPr>
      <w:r>
        <w:t xml:space="preserve">This report presents a high-detail Product Carbon Footprint (PCF) analysis for \'etfhtdoily\', manufactured by \'mzldtxiopz\'. The analysis was conducted by nhvhhskttp, Senior Sustainability Consultant, in accordance with the GHG Protocol Corporate Accounting and Reporting Standard, including the 2026 Land Sector and Removals (LSR) update. The primary objective is to quantify the greenhouse gas emissions associated with the product\'s lifecycle, identify emission hotspots, and provide a foundation for sustainability improvements. The assessment covers the product from raw material acquisition through manufacturing, transportation, use, and end-of-life phases, with a focus on a \'factory_gate\' system boundary for direct operational control while detailing upstream and downstream Scope 3 impacts.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step in this PCF analysis involves defining the key parameters that frame the study, ensuring consistency and comparability of results.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Description</w:t>
            </w:r>
          </w:p>
        </w:tc>
      </w:tr>
      <w:tr>
        <w:tc>
          <w:tcPr/>
          <w:p>
            <w:pPr>
              <w:pStyle w:val="Compact"/>
              <w:jc w:val="left"/>
            </w:pPr>
            <w:r>
              <w:rPr>
                <w:bCs/>
                <w:b/>
              </w:rPr>
              <w:t xml:space="preserve">Functional Unit</w:t>
            </w:r>
          </w:p>
        </w:tc>
        <w:tc>
          <w:tcPr/>
          <w:p>
            <w:pPr>
              <w:pStyle w:val="Compact"/>
              <w:jc w:val="left"/>
            </w:pPr>
            <w:r>
              <w:t xml:space="preserve">1.0 unit of \'etfhtdoily\'. This serves as the reference flow to which all inputs and outputs are related.</w:t>
            </w:r>
          </w:p>
        </w:tc>
      </w:tr>
      <w:tr>
        <w:tc>
          <w:tcPr/>
          <w:p>
            <w:pPr>
              <w:pStyle w:val="Compact"/>
              <w:jc w:val="left"/>
            </w:pPr>
            <w:r>
              <w:rPr>
                <w:bCs/>
                <w:b/>
              </w:rPr>
              <w:t xml:space="preserve">System Boundary</w:t>
            </w:r>
          </w:p>
        </w:tc>
        <w:tc>
          <w:tcPr/>
          <w:p>
            <w:pPr>
              <w:pStyle w:val="Compact"/>
              <w:jc w:val="left"/>
            </w:pPr>
            <w:r>
              <w:t xml:space="preserve">Factory Gate. This includes all processes from raw material extraction and processing (cradle) up to the point where the finished product leaves the manufacturing facility (gate). Upstream transportation to the factory is included. Downstream transportation, use phase, and end-of-life are also evaluated as part of Scope 3 for a comprehensive lifecycle view, despite the \'factory_gate\' direct boundary.</w:t>
            </w:r>
          </w:p>
        </w:tc>
      </w:tr>
      <w:tr>
        <w:tc>
          <w:tcPr/>
          <w:p>
            <w:pPr>
              <w:pStyle w:val="Compact"/>
              <w:jc w:val="left"/>
            </w:pPr>
            <w:r>
              <w:rPr>
                <w:bCs/>
                <w:b/>
              </w:rPr>
              <w:t xml:space="preserve">Geographic Scope</w:t>
            </w:r>
          </w:p>
        </w:tc>
        <w:tc>
          <w:tcPr/>
          <w:p>
            <w:pPr>
              <w:pStyle w:val="Compact"/>
              <w:jc w:val="left"/>
            </w:pPr>
            <w:r>
              <w:t xml:space="preserve">Final Production Country: China. Supply Chain Focus: Europe Focused. This implies that manufacturing emission factors are specific to China, while upstream raw material sourcing and primary supply chain logistics are predominantly from or focused on Europe.</w:t>
            </w:r>
          </w:p>
        </w:tc>
      </w:tr>
      <w:tr>
        <w:tc>
          <w:tcPr/>
          <w:p>
            <w:pPr>
              <w:pStyle w:val="Compact"/>
              <w:jc w:val="left"/>
            </w:pPr>
            <w:r>
              <w:rPr>
                <w:bCs/>
                <w:b/>
              </w:rPr>
              <w:t xml:space="preserve">Accounting Standard</w:t>
            </w:r>
          </w:p>
        </w:tc>
        <w:tc>
          <w:tcPr/>
          <w:p>
            <w:pPr>
              <w:pStyle w:val="Compact"/>
              <w:jc w:val="left"/>
            </w:pPr>
            <w:r>
              <w:t xml:space="preserve">GHG Protocol Corporate Accounting and Reporting Standard. This standard provides a comprehensive, global, standardized framework for measuring and managing GHG emissions. The analysis also incorporates the 2026 Land Sector and Removals (LSR) Standard for relevant land-use and carbon removal aspects within the value chain.</w:t>
            </w:r>
          </w:p>
        </w:tc>
      </w:tr>
      <w:tr>
        <w:tc>
          <w:tcPr/>
          <w:p>
            <w:pPr>
              <w:pStyle w:val="Compact"/>
              <w:jc w:val="left"/>
            </w:pPr>
            <w:r>
              <w:rPr>
                <w:bCs/>
                <w:b/>
              </w:rPr>
              <w:t xml:space="preserve">Allocation Method</w:t>
            </w:r>
          </w:p>
        </w:tc>
        <w:tc>
          <w:tcPr/>
          <w:p>
            <w:pPr>
              <w:pStyle w:val="Compact"/>
              <w:jc w:val="left"/>
            </w:pPr>
            <w:r>
              <w:t xml:space="preserve">Mass-based allocation for co-products where relevant, otherwise direct allocation for single-product processes. For avoided emissions in the end-of-life phase, the \'recycled content\' approach is preferred, reflecting circular economy benefits.</w:t>
            </w:r>
          </w:p>
        </w:tc>
      </w:tr>
    </w:tbl>
    <w:p>
      <w:r>
        <w:pict>
          <v:rect style="width:0;height:1.5pt" o:hralign="center" o:hrstd="t" o:hr="t"/>
        </w:pict>
      </w:r>
    </w:p>
    <w:bookmarkEnd w:id="22"/>
    <w:bookmarkStart w:id="28" w:name="Xf6590ae06e9eff1c8ceb678e24ded0b628f7713"/>
    <w:p>
      <w:pPr>
        <w:pStyle w:val="Heading2"/>
      </w:pPr>
      <w:r>
        <w:t xml:space="preserve">2. Map Lifecycle (Life Cycle Inventory Stages)</w:t>
      </w:r>
    </w:p>
    <w:p>
      <w:pPr>
        <w:pStyle w:val="FirstParagraph"/>
      </w:pPr>
      <w:r>
        <w:t xml:space="preserve">The lifecycle of \'etfhtdoily\' is mapped into distinct stages to systematically identify and quantify all relevant inputs and outputs.</w:t>
      </w:r>
    </w:p>
    <w:bookmarkStart w:id="23" w:name="X365bc6b71c9af4b73fd2e04c01bd42c886972a2"/>
    <w:p>
      <w:pPr>
        <w:pStyle w:val="Heading3"/>
      </w:pPr>
      <w:r>
        <w:t xml:space="preserve">2.1 Raw Material Acquisition &amp; Pre-processing (Cradle-to-Gate Upstream)</w:t>
      </w:r>
    </w:p>
    <w:p>
      <w:pPr>
        <w:pStyle w:val="FirstParagraph"/>
      </w:pPr>
      <w:r>
        <w:t xml:space="preserve">This stage includes the extraction, processing, and manufacturing of all raw materials and components listed in the Detailed Bill of Materials (BOM). Emissions here are categorized under Scope 3, Category 1 (Purchased Goods and Services).</w:t>
      </w:r>
    </w:p>
    <w:p>
      <w:pPr>
        <w:numPr>
          <w:ilvl w:val="0"/>
          <w:numId w:val="1001"/>
        </w:numPr>
        <w:pStyle w:val="Compact"/>
      </w:pPr>
      <w:r>
        <w:t xml:space="preserve">Detailed Bill of Materials (BOM) analysis for \'senifort\'.</w:t>
      </w:r>
    </w:p>
    <w:p>
      <w:pPr>
        <w:numPr>
          <w:ilvl w:val="0"/>
          <w:numId w:val="1001"/>
        </w:numPr>
        <w:pStyle w:val="Compact"/>
      </w:pPr>
      <w:r>
        <w:t xml:space="preserve">Focus on material categories such as metals, plastics, electronics, and packaging.</w:t>
      </w:r>
    </w:p>
    <w:bookmarkEnd w:id="23"/>
    <w:bookmarkStart w:id="24" w:name="manufacturing-production-gate"/>
    <w:p>
      <w:pPr>
        <w:pStyle w:val="Heading3"/>
      </w:pPr>
      <w:r>
        <w:t xml:space="preserve">2.2 Manufacturing / Production (Gate)</w:t>
      </w:r>
    </w:p>
    <w:p>
      <w:pPr>
        <w:pStyle w:val="FirstParagraph"/>
      </w:pPr>
      <w:r>
        <w:t xml:space="preserve">This stage covers the energy consumption and direct process emissions at mzldtxiopz\'s production facility in China.</w:t>
      </w:r>
    </w:p>
    <w:p>
      <w:pPr>
        <w:numPr>
          <w:ilvl w:val="0"/>
          <w:numId w:val="1002"/>
        </w:numPr>
        <w:pStyle w:val="Compact"/>
      </w:pPr>
      <w:r>
        <w:rPr>
          <w:bCs/>
          <w:b/>
        </w:rPr>
        <w:t xml:space="preserve">Energy Inputs:</w:t>
      </w:r>
      <w:r>
        <w:t xml:space="preserve"> </w:t>
      </w:r>
      <w:r>
        <w:t xml:space="preserve">Electricity consumption for machinery, heating, cooling, etc. (Scope 2).</w:t>
      </w:r>
    </w:p>
    <w:p>
      <w:pPr>
        <w:numPr>
          <w:ilvl w:val="0"/>
          <w:numId w:val="1002"/>
        </w:numPr>
        <w:pStyle w:val="Compact"/>
      </w:pPr>
      <w:r>
        <w:rPr>
          <w:bCs/>
          <w:b/>
        </w:rPr>
        <w:t xml:space="preserve">Renewable Energy Usage:</w:t>
      </w:r>
      <w:r>
        <w:t xml:space="preserve"> </w:t>
      </w:r>
      <w:r>
        <w:t xml:space="preserve">\'vufgvdpwzw\'% of electricity from renewable sources.</w:t>
      </w:r>
    </w:p>
    <w:p>
      <w:pPr>
        <w:numPr>
          <w:ilvl w:val="0"/>
          <w:numId w:val="1002"/>
        </w:numPr>
        <w:pStyle w:val="Compact"/>
      </w:pPr>
      <w:r>
        <w:rPr>
          <w:bCs/>
          <w:b/>
        </w:rPr>
        <w:t xml:space="preserve">Energy Intensity:</w:t>
      </w:r>
      <w:r>
        <w:t xml:space="preserve"> </w:t>
      </w:r>
      <w:r>
        <w:t xml:space="preserve">\'ezklksdjzh\' kWh/unit.</w:t>
      </w:r>
    </w:p>
    <w:p>
      <w:pPr>
        <w:numPr>
          <w:ilvl w:val="0"/>
          <w:numId w:val="1002"/>
        </w:numPr>
        <w:pStyle w:val="Compact"/>
      </w:pPr>
      <w:r>
        <w:rPr>
          <w:bCs/>
          <w:b/>
        </w:rPr>
        <w:t xml:space="preserve">Direct Process Emissions:</w:t>
      </w:r>
      <w:r>
        <w:t xml:space="preserve"> </w:t>
      </w:r>
      <w:r>
        <w:t xml:space="preserve">Any GHGs directly released from manufacturing processes (Scope 1) – *assumed negligible for typical product manufacturing unless specified in \'senifort\'.*</w:t>
      </w:r>
    </w:p>
    <w:bookmarkEnd w:id="24"/>
    <w:bookmarkStart w:id="25" w:name="transportation-distribution"/>
    <w:p>
      <w:pPr>
        <w:pStyle w:val="Heading3"/>
      </w:pPr>
      <w:r>
        <w:t xml:space="preserve">2.3 Transportation (Distribution)</w:t>
      </w:r>
    </w:p>
    <w:p>
      <w:pPr>
        <w:pStyle w:val="FirstParagraph"/>
      </w:pPr>
      <w:r>
        <w:t xml:space="preserve">This stage includes the transportation of raw materials to the manufacturing facility and the finished product to the customer.</w:t>
      </w:r>
    </w:p>
    <w:p>
      <w:pPr>
        <w:numPr>
          <w:ilvl w:val="0"/>
          <w:numId w:val="1003"/>
        </w:numPr>
        <w:pStyle w:val="Compact"/>
      </w:pPr>
      <w:r>
        <w:rPr>
          <w:bCs/>
          <w:b/>
        </w:rPr>
        <w:t xml:space="preserve">Inbound Logistics:</w:t>
      </w:r>
      <w:r>
        <w:t xml:space="preserve"> </w:t>
      </w:r>
      <w:r>
        <w:t xml:space="preserve">Transportation of \'senifort\' components to the factory in China.</w:t>
      </w:r>
    </w:p>
    <w:p>
      <w:pPr>
        <w:numPr>
          <w:ilvl w:val="0"/>
          <w:numId w:val="1003"/>
        </w:numPr>
        <w:pStyle w:val="Compact"/>
      </w:pPr>
      <w:r>
        <w:rPr>
          <w:bCs/>
          <w:b/>
        </w:rPr>
        <w:t xml:space="preserve">Outbound Logistics:</w:t>
      </w:r>
      <w:r>
        <w:t xml:space="preserve"> </w:t>
      </w:r>
      <w:r>
        <w:t xml:space="preserve">Transportation of finished \'etfhtdoily\' from the factory to the end-user.</w:t>
      </w:r>
    </w:p>
    <w:p>
      <w:pPr>
        <w:numPr>
          <w:ilvl w:val="0"/>
          <w:numId w:val="1003"/>
        </w:numPr>
        <w:pStyle w:val="Compact"/>
      </w:pPr>
      <w:r>
        <w:rPr>
          <w:bCs/>
          <w:b/>
        </w:rPr>
        <w:t xml:space="preserve">Transport Mode:</w:t>
      </w:r>
      <w:r>
        <w:t xml:space="preserve"> </w:t>
      </w:r>
      <w:r>
        <w:t xml:space="preserve">\'Select Mode\'</w:t>
      </w:r>
    </w:p>
    <w:p>
      <w:pPr>
        <w:numPr>
          <w:ilvl w:val="0"/>
          <w:numId w:val="1003"/>
        </w:numPr>
        <w:pStyle w:val="Compact"/>
      </w:pPr>
      <w:r>
        <w:rPr>
          <w:bCs/>
          <w:b/>
        </w:rPr>
        <w:t xml:space="preserve">Transport Distance:</w:t>
      </w:r>
      <w:r>
        <w:t xml:space="preserve"> </w:t>
      </w:r>
      <w:r>
        <w:t xml:space="preserve">\'rrltjtmege\'</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t xml:space="preserve">Emissions are categorized under Scope 3, Category 4 (Upstream Transportation &amp; Distribution) and Category 9 (Downstream Transportation &amp; Distribution).</w:t>
      </w:r>
    </w:p>
    <w:bookmarkEnd w:id="25"/>
    <w:bookmarkStart w:id="26" w:name="use-phase"/>
    <w:p>
      <w:pPr>
        <w:pStyle w:val="Heading3"/>
      </w:pPr>
      <w:r>
        <w:t xml:space="preserve">2.4 Use Phase</w:t>
      </w:r>
    </w:p>
    <w:p>
      <w:pPr>
        <w:pStyle w:val="FirstParagraph"/>
      </w:pPr>
      <w:r>
        <w:t xml:space="preserve">This stage accounts for the energy consumed by the product during its functional lifespan.</w:t>
      </w:r>
    </w:p>
    <w:p>
      <w:pPr>
        <w:numPr>
          <w:ilvl w:val="0"/>
          <w:numId w:val="1004"/>
        </w:numPr>
        <w:pStyle w:val="Compact"/>
      </w:pPr>
      <w:r>
        <w:rPr>
          <w:bCs/>
          <w:b/>
        </w:rPr>
        <w:t xml:space="preserve">Product Lifespan:</w:t>
      </w:r>
      <w:r>
        <w:t xml:space="preserve"> </w:t>
      </w:r>
      <w:r>
        <w:t xml:space="preserve">\'ptvyqmghqr\' years.</w:t>
      </w:r>
    </w:p>
    <w:p>
      <w:pPr>
        <w:numPr>
          <w:ilvl w:val="0"/>
          <w:numId w:val="1004"/>
        </w:numPr>
        <w:pStyle w:val="Compact"/>
      </w:pPr>
      <w:r>
        <w:rPr>
          <w:bCs/>
          <w:b/>
        </w:rPr>
        <w:t xml:space="preserve">Energy Consumption in Use:</w:t>
      </w:r>
      <w:r>
        <w:t xml:space="preserve"> </w:t>
      </w:r>
      <w:r>
        <w:t xml:space="preserve">\'geznplzkqt\' per year/lifespan.</w:t>
      </w:r>
    </w:p>
    <w:p>
      <w:pPr>
        <w:numPr>
          <w:ilvl w:val="0"/>
          <w:numId w:val="1004"/>
        </w:numPr>
        <w:pStyle w:val="Compact"/>
      </w:pPr>
      <w:r>
        <w:t xml:space="preserve">Emissions are categorized under Scope 3, Category 11 (Use of Sold Products).</w:t>
      </w:r>
    </w:p>
    <w:bookmarkEnd w:id="26"/>
    <w:bookmarkStart w:id="27" w:name="end-of-life-eol-treatment"/>
    <w:p>
      <w:pPr>
        <w:pStyle w:val="Heading3"/>
      </w:pPr>
      <w:r>
        <w:t xml:space="preserve">2.5 End-of-Life (EoL) Treatment</w:t>
      </w:r>
    </w:p>
    <w:p>
      <w:pPr>
        <w:pStyle w:val="FirstParagraph"/>
      </w:pPr>
      <w:r>
        <w:t xml:space="preserve">This stage addresses the fate of the product at the end of its useful life.</w:t>
      </w:r>
    </w:p>
    <w:p>
      <w:pPr>
        <w:numPr>
          <w:ilvl w:val="0"/>
          <w:numId w:val="1005"/>
        </w:numPr>
        <w:pStyle w:val="Compact"/>
      </w:pPr>
      <w:r>
        <w:rPr>
          <w:bCs/>
          <w:b/>
        </w:rPr>
        <w:t xml:space="preserve">Recyclability Percentage:</w:t>
      </w:r>
      <w:r>
        <w:t xml:space="preserve"> </w:t>
      </w:r>
      <w:r>
        <w:t xml:space="preserve">\'kigkfqdtms\'% of the product components are recyclable.</w:t>
      </w:r>
    </w:p>
    <w:p>
      <w:pPr>
        <w:numPr>
          <w:ilvl w:val="0"/>
          <w:numId w:val="1005"/>
        </w:numPr>
        <w:pStyle w:val="Compact"/>
      </w:pPr>
      <w:r>
        <w:rPr>
          <w:bCs/>
          <w:b/>
        </w:rPr>
        <w:t xml:space="preserve">Circular/Take-back Programs:</w:t>
      </w:r>
      <w:r>
        <w:t xml:space="preserve"> </w:t>
      </w:r>
      <w:r>
        <w:t xml:space="preserve">\'vltmergzho\'.</w:t>
      </w:r>
    </w:p>
    <w:p>
      <w:pPr>
        <w:numPr>
          <w:ilvl w:val="0"/>
          <w:numId w:val="1005"/>
        </w:numPr>
        <w:pStyle w:val="Compact"/>
      </w:pPr>
      <w:r>
        <w:t xml:space="preserve">Consideration of landfilling, incineration, recycling, and potential avoided emissions from material substitution.</w:t>
      </w:r>
    </w:p>
    <w:p>
      <w:pPr>
        <w:numPr>
          <w:ilvl w:val="0"/>
          <w:numId w:val="1005"/>
        </w:numPr>
        <w:pStyle w:val="Compact"/>
      </w:pPr>
      <w:r>
        <w:t xml:space="preserve">Emissions are categorized under Scope 3, Category 12 (End-of-Life Treatment of Sold Products).</w:t>
      </w:r>
    </w:p>
    <w:p>
      <w:pPr>
        <w:pStyle w:val="FirstParagraph"/>
      </w:pPr>
      <w:r>
        <w:rPr>
          <w:iCs/>
          <w:i/>
        </w:rPr>
        <w:t xml:space="preserve">2026 LSR Update Consideration:</w:t>
      </w:r>
      <w:r>
        <w:t xml:space="preserve"> </w:t>
      </w:r>
      <w:r>
        <w:t xml:space="preserve">For \'etfhtdoily\', direct land-use change impacts are typically not significant unless the raw materials involve specific agricultural or forestry products with high land-use intensity. However, the LSR standard\'s principles for carbon removals through recycling and circular programs are integrated into the EoL phase to reflect avoided emissions accurately.</w:t>
      </w:r>
    </w:p>
    <w:p>
      <w:r>
        <w:pict>
          <v:rect style="width:0;height:1.5pt" o:hralign="center" o:hrstd="t" o:hr="t"/>
        </w:pict>
      </w:r>
    </w:p>
    <w:bookmarkEnd w:id="27"/>
    <w:bookmarkEnd w:id="28"/>
    <w:bookmarkStart w:id="33" w:name="collect-data"/>
    <w:p>
      <w:pPr>
        <w:pStyle w:val="Heading2"/>
      </w:pPr>
      <w:r>
        <w:t xml:space="preserve">3. Collect Data</w:t>
      </w:r>
    </w:p>
    <w:p>
      <w:pPr>
        <w:pStyle w:val="FirstParagraph"/>
      </w:pPr>
      <w:r>
        <w:t xml:space="preserve">Data collection is critical for accurate PCF calculation. Both primary and secondary data sources are utilized.</w:t>
      </w:r>
    </w:p>
    <w:bookmarkStart w:id="29" w:name="primary-data"/>
    <w:p>
      <w:pPr>
        <w:pStyle w:val="Heading3"/>
      </w:pPr>
      <w:r>
        <w:t xml:space="preserve">3.1 Primary Data</w:t>
      </w:r>
    </w:p>
    <w:p>
      <w:pPr>
        <w:pStyle w:val="FirstParagraph"/>
      </w:pPr>
      <w:r>
        <w:t xml:space="preserve">Primary data specific to mzldtxiopz\'s operations and the \'etfhtdoily\' product.</w:t>
      </w:r>
    </w:p>
    <w:p>
      <w:pPr>
        <w:numPr>
          <w:ilvl w:val="0"/>
          <w:numId w:val="1006"/>
        </w:numPr>
        <w:pStyle w:val="Compact"/>
      </w:pPr>
      <w:r>
        <w:rPr>
          <w:bCs/>
          <w:b/>
        </w:rPr>
        <w:t xml:space="preserve">Detailed Bill of Materials (BOM): \'senifort\'</w:t>
      </w:r>
      <w:r>
        <w:br/>
      </w:r>
      <w:r>
        <w:t xml:space="preserve">The BOM provides crucial material composition. For the purpose of this report, a hypothetical BOM is constructed adhering to the specified format, as the actual \'senifort\' data was not provided in a directly parsable format within the prompt. These values would typically be sourced directly from mzldtxiopz\'s engineering and procurement departments.</w:t>
      </w:r>
    </w:p>
    <w:p>
      <w:pPr>
        <w:numPr>
          <w:ilvl w:val="0"/>
          <w:numId w:val="1006"/>
        </w:numPr>
        <w:pStyle w:val="Compact"/>
      </w:pPr>
      <w:r>
        <w:rPr>
          <w:bCs/>
          <w:b/>
        </w:rPr>
        <w:t xml:space="preserve">Manufacturing Energy Data:</w:t>
      </w:r>
    </w:p>
    <w:p>
      <w:pPr>
        <w:numPr>
          <w:ilvl w:val="1"/>
          <w:numId w:val="1007"/>
        </w:numPr>
        <w:pStyle w:val="Compact"/>
      </w:pPr>
      <w:r>
        <w:t xml:space="preserve">Renewable Energy Usage: \'vufgvdpwzw\'%</w:t>
      </w:r>
    </w:p>
    <w:p>
      <w:pPr>
        <w:numPr>
          <w:ilvl w:val="1"/>
          <w:numId w:val="1007"/>
        </w:numPr>
        <w:pStyle w:val="Compact"/>
      </w:pPr>
      <w:r>
        <w:t xml:space="preserve">Energy Intensity: \'ezklksdjzh\' kWh/unit</w:t>
      </w:r>
    </w:p>
    <w:p>
      <w:pPr>
        <w:numPr>
          <w:ilvl w:val="0"/>
          <w:numId w:val="1006"/>
        </w:numPr>
        <w:pStyle w:val="Compact"/>
      </w:pPr>
      <w:r>
        <w:rPr>
          <w:bCs/>
          <w:b/>
        </w:rPr>
        <w:t xml:space="preserve">Logistics Data:</w:t>
      </w:r>
    </w:p>
    <w:p>
      <w:pPr>
        <w:numPr>
          <w:ilvl w:val="1"/>
          <w:numId w:val="1008"/>
        </w:numPr>
        <w:pStyle w:val="Compact"/>
      </w:pPr>
      <w:r>
        <w:t xml:space="preserve">Transport Mode: \'Select Mode\'</w:t>
      </w:r>
    </w:p>
    <w:p>
      <w:pPr>
        <w:numPr>
          <w:ilvl w:val="1"/>
          <w:numId w:val="1008"/>
        </w:numPr>
        <w:pStyle w:val="Compact"/>
      </w:pPr>
      <w:r>
        <w:t xml:space="preserve">Transport Distance: \'rrltjtmege\'</w:t>
      </w:r>
    </w:p>
    <w:p>
      <w:pPr>
        <w:numPr>
          <w:ilvl w:val="1"/>
          <w:numId w:val="1008"/>
        </w:numPr>
        <w:pStyle w:val="Compact"/>
      </w:pPr>
      <w:r>
        <w:t xml:space="preserve">Last-Mile Delivery Channel: \'Delivery Type\'</w:t>
      </w:r>
    </w:p>
    <w:p>
      <w:pPr>
        <w:numPr>
          <w:ilvl w:val="0"/>
          <w:numId w:val="1006"/>
        </w:numPr>
        <w:pStyle w:val="Compact"/>
      </w:pPr>
      <w:r>
        <w:rPr>
          <w:bCs/>
          <w:b/>
        </w:rPr>
        <w:t xml:space="preserve">Use Phase Data:</w:t>
      </w:r>
    </w:p>
    <w:p>
      <w:pPr>
        <w:numPr>
          <w:ilvl w:val="1"/>
          <w:numId w:val="1009"/>
        </w:numPr>
        <w:pStyle w:val="Compact"/>
      </w:pPr>
      <w:r>
        <w:t xml:space="preserve">Product Lifespan: \'ptvyqmghqr\' years</w:t>
      </w:r>
    </w:p>
    <w:p>
      <w:pPr>
        <w:numPr>
          <w:ilvl w:val="1"/>
          <w:numId w:val="1009"/>
        </w:numPr>
        <w:pStyle w:val="Compact"/>
      </w:pPr>
      <w:r>
        <w:t xml:space="preserve">Energy Consumption in Use: \'geznplzkqt\'</w:t>
      </w:r>
    </w:p>
    <w:p>
      <w:pPr>
        <w:numPr>
          <w:ilvl w:val="0"/>
          <w:numId w:val="1006"/>
        </w:numPr>
        <w:pStyle w:val="Compact"/>
      </w:pPr>
      <w:r>
        <w:rPr>
          <w:bCs/>
          <w:b/>
        </w:rPr>
        <w:t xml:space="preserve">End-of-Life Data:</w:t>
      </w:r>
    </w:p>
    <w:p>
      <w:pPr>
        <w:numPr>
          <w:ilvl w:val="1"/>
          <w:numId w:val="1010"/>
        </w:numPr>
        <w:pStyle w:val="Compact"/>
      </w:pPr>
      <w:r>
        <w:t xml:space="preserve">Recyclability Percentage: \'kigkfqdtms\'%</w:t>
      </w:r>
    </w:p>
    <w:p>
      <w:pPr>
        <w:numPr>
          <w:ilvl w:val="1"/>
          <w:numId w:val="1010"/>
        </w:numPr>
        <w:pStyle w:val="Compact"/>
      </w:pPr>
      <w:r>
        <w:t xml:space="preserve">Circular/Take-back Programs: \'vltmergzho\'</w:t>
      </w:r>
    </w:p>
    <w:bookmarkEnd w:id="29"/>
    <w:bookmarkStart w:id="32" w:name="secondary-data-emission-factors"/>
    <w:p>
      <w:pPr>
        <w:pStyle w:val="Heading3"/>
      </w:pPr>
      <w:r>
        <w:t xml:space="preserve">3.2 Secondary Data (Emission Factors)</w:t>
      </w:r>
    </w:p>
    <w:p>
      <w:pPr>
        <w:pStyle w:val="FirstParagraph"/>
      </w:pPr>
      <w:r>
        <w:t xml:space="preserve">Secondary data, primarily emission factors, are sourced from recognized databases for processes where primary data is unavailable or for industry-average benchmarks. For this analysis, representative industry-standard emission factors are used, typically derived from databases like Ecoinvent or DEFRA.</w:t>
      </w:r>
    </w:p>
    <w:p>
      <w:pPr>
        <w:numPr>
          <w:ilvl w:val="0"/>
          <w:numId w:val="1011"/>
        </w:numPr>
        <w:pStyle w:val="Compact"/>
      </w:pPr>
      <w:r>
        <w:t xml:space="preserve">Material production (e.g., kg CO2e/kg of steel, plastic, electronics).</w:t>
      </w:r>
    </w:p>
    <w:p>
      <w:pPr>
        <w:numPr>
          <w:ilvl w:val="0"/>
          <w:numId w:val="1011"/>
        </w:numPr>
        <w:pStyle w:val="Compact"/>
      </w:pPr>
      <w:r>
        <w:t xml:space="preserve">Electricity generation mixes (specific to China for manufacturing, and regional grids for use phase).</w:t>
      </w:r>
    </w:p>
    <w:p>
      <w:pPr>
        <w:numPr>
          <w:ilvl w:val="0"/>
          <w:numId w:val="1011"/>
        </w:numPr>
        <w:pStyle w:val="Compact"/>
      </w:pPr>
      <w:r>
        <w:t xml:space="preserve">Fuel combustion for transport (e.g., kg CO2e/tkm for various modes).</w:t>
      </w:r>
    </w:p>
    <w:p>
      <w:pPr>
        <w:numPr>
          <w:ilvl w:val="0"/>
          <w:numId w:val="1011"/>
        </w:numPr>
        <w:pStyle w:val="Compact"/>
      </w:pPr>
      <w:r>
        <w:t xml:space="preserve">Waste treatment processes (e.g., kg CO2e/kg for landfill, incineration, recycling).</w:t>
      </w:r>
    </w:p>
    <w:bookmarkStart w:id="30" w:name="X59f7ff3f28136bcb9affa63cb36e70859f0be81"/>
    <w:p>
      <w:pPr>
        <w:pStyle w:val="Heading4"/>
      </w:pPr>
      <w:r>
        <w:t xml:space="preserve">Detailed Bill of Materials (BOM) and Material Inputs (Hypothetical for \'senifort\')</w:t>
      </w:r>
    </w:p>
    <w:p>
      <w:pPr>
        <w:pStyle w:val="FirstParagraph"/>
      </w:pPr>
      <w:r>
        <w:t xml:space="preserve">The following table presents a hypothetical detailed Bill of Materials for \'etfhtdoily\', illustrating the format and types of data required for high-accuracy material impact calculation. The \'Emission Factor\' and \'Total Carbon\' columns are illustrative and would be derived from actual data and emission factor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6.00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p>
            <w:pPr>
              <w:pStyle w:val="Compact"/>
              <w:jc w:val="left"/>
            </w:pPr>
            <w:r>
              <w:t xml:space="preserve">M007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bl>
    <w:p>
      <w:pPr>
        <w:pStyle w:val="BodyText"/>
      </w:pPr>
      <w:r>
        <w:rPr>
          <w:iCs/>
          <w:i/>
        </w:rPr>
        <w:t xml:space="preserve">Note: The "Emission Factor" and "Total Carbon" values in the BOM table above are illustrative and based on generic industry averages. For an actual analysis, these would be precise figures derived from specific supplier data or reputable lifecycle assessment databases for \'senifort\'.</w:t>
      </w:r>
    </w:p>
    <w:bookmarkEnd w:id="30"/>
    <w:bookmarkStart w:id="31" w:name="energy-inputs-for-production"/>
    <w:p>
      <w:pPr>
        <w:pStyle w:val="Heading4"/>
      </w:pPr>
      <w:r>
        <w:t xml:space="preserve">Energy Inputs for Production</w:t>
      </w:r>
    </w:p>
    <w:p>
      <w:pPr>
        <w:pStyle w:val="FirstParagraph"/>
      </w:pPr>
      <w:r>
        <w:t xml:space="preserve">The energy consumed during the manufacturing phase at mzldtxiopz\'s facility in China is a significant contributor to the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Remarks</w:t>
            </w:r>
          </w:p>
        </w:tc>
      </w:tr>
      <w:tr>
        <w:tc>
          <w:tcPr/>
          <w:p>
            <w:pPr>
              <w:pStyle w:val="Compact"/>
              <w:jc w:val="left"/>
            </w:pPr>
            <w:r>
              <w:t xml:space="preserve">Total Energy Intensity</w:t>
            </w:r>
          </w:p>
        </w:tc>
        <w:tc>
          <w:tcPr/>
          <w:p>
            <w:pPr>
              <w:pStyle w:val="Compact"/>
              <w:jc w:val="left"/>
            </w:pPr>
            <w:r>
              <w:t xml:space="preserve">\'ezklksdjzh\'</w:t>
            </w:r>
          </w:p>
        </w:tc>
        <w:tc>
          <w:tcPr/>
          <w:p>
            <w:pPr>
              <w:pStyle w:val="Compact"/>
              <w:jc w:val="left"/>
            </w:pPr>
            <w:r>
              <w:t xml:space="preserve">kWh/unit</w:t>
            </w:r>
          </w:p>
        </w:tc>
        <w:tc>
          <w:tcPr/>
          <w:p>
            <w:pPr>
              <w:pStyle w:val="Compact"/>
              <w:jc w:val="left"/>
            </w:pPr>
            <w:r>
              <w:t xml:space="preserve">Energy consumed per unit of product manufactured (e.g., 10 kWh/unit for calculation).</w:t>
            </w:r>
          </w:p>
        </w:tc>
      </w:tr>
      <w:tr>
        <w:tc>
          <w:tcPr/>
          <w:p>
            <w:pPr>
              <w:pStyle w:val="Compact"/>
              <w:jc w:val="left"/>
            </w:pPr>
            <w:r>
              <w:t xml:space="preserve">Renewable Energy Usage</w:t>
            </w:r>
          </w:p>
        </w:tc>
        <w:tc>
          <w:tcPr/>
          <w:p>
            <w:pPr>
              <w:pStyle w:val="Compact"/>
              <w:jc w:val="left"/>
            </w:pPr>
            <w:r>
              <w:t xml:space="preserve">\'vufgvdpwzw\'</w:t>
            </w:r>
          </w:p>
        </w:tc>
        <w:tc>
          <w:tcPr/>
          <w:p>
            <w:pPr>
              <w:pStyle w:val="Compact"/>
              <w:jc w:val="left"/>
            </w:pPr>
            <w:r>
              <w:t xml:space="preserve">%</w:t>
            </w:r>
          </w:p>
        </w:tc>
        <w:tc>
          <w:tcPr/>
          <w:p>
            <w:pPr>
              <w:pStyle w:val="Compact"/>
              <w:jc w:val="left"/>
            </w:pPr>
            <w:r>
              <w:t xml:space="preserve">Percentage of electricity sourced from renewable energy (e.g., 50% for calculation).</w:t>
            </w:r>
          </w:p>
        </w:tc>
      </w:tr>
      <w:tr>
        <w:tc>
          <w:tcPr/>
          <w:p>
            <w:pPr>
              <w:pStyle w:val="Compact"/>
              <w:jc w:val="left"/>
            </w:pPr>
            <w:r>
              <w:t xml:space="preserve">Non-Renewable Energy Usage</w:t>
            </w:r>
          </w:p>
        </w:tc>
        <w:tc>
          <w:tcPr/>
          <w:p>
            <w:pPr>
              <w:pStyle w:val="Compact"/>
              <w:jc w:val="left"/>
            </w:pPr>
            <w:r>
              <w:t xml:space="preserve">Calculation: 100 - \'vufgvdpwzw\'</w:t>
            </w:r>
          </w:p>
        </w:tc>
        <w:tc>
          <w:tcPr/>
          <w:p>
            <w:pPr>
              <w:pStyle w:val="Compact"/>
              <w:jc w:val="left"/>
            </w:pPr>
            <w:r>
              <w:t xml:space="preserve">%</w:t>
            </w:r>
          </w:p>
        </w:tc>
        <w:tc>
          <w:tcPr/>
          <w:p>
            <w:pPr>
              <w:pStyle w:val="Compact"/>
              <w:jc w:val="left"/>
            </w:pPr>
            <w:r>
              <w:t xml:space="preserve">Percentage of electricity sourced from the grid mix (China) (e.g., 50% for calculation).</w:t>
            </w:r>
          </w:p>
        </w:tc>
      </w:tr>
      <w:tr>
        <w:tc>
          <w:tcPr/>
          <w:p>
            <w:pPr>
              <w:pStyle w:val="Compact"/>
              <w:jc w:val="left"/>
            </w:pPr>
            <w:r>
              <w:t xml:space="preserve">Grid Electricity Emission Factor (China)</w:t>
            </w:r>
          </w:p>
        </w:tc>
        <w:tc>
          <w:tcPr/>
          <w:p>
            <w:pPr>
              <w:pStyle w:val="Compact"/>
              <w:jc w:val="left"/>
            </w:pPr>
            <w:r>
              <w:t xml:space="preserve">~0.6</w:t>
            </w:r>
          </w:p>
        </w:tc>
        <w:tc>
          <w:tcPr/>
          <w:p>
            <w:pPr>
              <w:pStyle w:val="Compact"/>
              <w:jc w:val="left"/>
            </w:pPr>
            <w:r>
              <w:t xml:space="preserve">kg CO2e/kWh</w:t>
            </w:r>
          </w:p>
        </w:tc>
        <w:tc>
          <w:tcPr/>
          <w:p>
            <w:pPr>
              <w:pStyle w:val="Compact"/>
              <w:jc w:val="left"/>
            </w:pPr>
            <w:r>
              <w:t xml:space="preserve">Industry average for China\'s grid mix (illustrative).</w:t>
            </w:r>
          </w:p>
        </w:tc>
      </w:tr>
    </w:tbl>
    <w:p>
      <w:r>
        <w:pict>
          <v:rect style="width:0;height:1.5pt" o:hralign="center" o:hrstd="t" o:hr="t"/>
        </w:pict>
      </w:r>
    </w:p>
    <w:bookmarkEnd w:id="31"/>
    <w:bookmarkEnd w:id="32"/>
    <w:bookmarkEnd w:id="33"/>
    <w:bookmarkStart w:id="44" w:name="calculate-emissions"/>
    <w:p>
      <w:pPr>
        <w:pStyle w:val="Heading2"/>
      </w:pPr>
      <w:r>
        <w:t xml:space="preserve">4. Calculate Emissions</w:t>
      </w:r>
    </w:p>
    <w:p>
      <w:pPr>
        <w:pStyle w:val="FirstParagraph"/>
      </w:pPr>
      <w:r>
        <w:t xml:space="preserve">The calculation phase aggregates activity data with corresponding emission factors to quantify GHG emissions across the product\'s lifecycle, categorized according to the GHG Protocol.</w:t>
      </w:r>
    </w:p>
    <w:bookmarkStart w:id="34" w:name="ghg-protocol-scopes-breakdown"/>
    <w:p>
      <w:pPr>
        <w:pStyle w:val="Heading3"/>
      </w:pPr>
      <w:r>
        <w:t xml:space="preserve">GHG Protocol Scopes Breakdown</w:t>
      </w:r>
    </w:p>
    <w:p>
      <w:pPr>
        <w:pStyle w:val="FirstParagraph"/>
      </w:pPr>
      <w:r>
        <w:t xml:space="preserve">Emissions are categorized into Scope 1, Scope 2, and Scope 3 as per the GHG Protocol.</w:t>
      </w:r>
    </w:p>
    <w:p>
      <w:pPr>
        <w:numPr>
          <w:ilvl w:val="0"/>
          <w:numId w:val="1012"/>
        </w:numPr>
        <w:pStyle w:val="Compact"/>
      </w:pPr>
      <w:r>
        <w:rPr>
          <w:bCs/>
          <w:b/>
        </w:rPr>
        <w:t xml:space="preserve">Scope 1: Direct Emissions</w:t>
      </w:r>
      <w:r>
        <w:t xml:space="preserve"> </w:t>
      </w:r>
      <w:r>
        <w:t xml:space="preserve">from owned or controlled sources. For typical product manufacturing, these are often minor and can include direct fuel combustion at the factory (e.g., heating) or process emissions not linked to electricity. (</w:t>
      </w:r>
      <w:r>
        <w:rPr>
          <w:iCs/>
          <w:i/>
        </w:rPr>
        <w:t xml:space="preserve">Assumed negligible for \'etfhtdoily\' unless specific process emissions are provided in \'senifort\'.</w:t>
      </w:r>
      <w:r>
        <w:t xml:space="preserve">)</w:t>
      </w:r>
    </w:p>
    <w:p>
      <w:pPr>
        <w:numPr>
          <w:ilvl w:val="0"/>
          <w:numId w:val="1012"/>
        </w:numPr>
        <w:pStyle w:val="Compact"/>
      </w:pPr>
      <w:r>
        <w:rPr>
          <w:bCs/>
          <w:b/>
        </w:rPr>
        <w:t xml:space="preserve">Scope 2: Indirect Emissions from Purchased Energy</w:t>
      </w:r>
      <w:r>
        <w:t xml:space="preserve">. Primarily electricity consumed at the manufacturing facility.</w:t>
      </w:r>
    </w:p>
    <w:p>
      <w:pPr>
        <w:numPr>
          <w:ilvl w:val="0"/>
          <w:numId w:val="1012"/>
        </w:numPr>
        <w:pStyle w:val="Compact"/>
      </w:pPr>
      <w:r>
        <w:rPr>
          <w:bCs/>
          <w:b/>
        </w:rPr>
        <w:t xml:space="preserve">Scope 3: Other Indirect Emissions</w:t>
      </w:r>
      <w:r>
        <w:t xml:space="preserve"> </w:t>
      </w:r>
      <w:r>
        <w:t xml:space="preserve">that occur in the value chain, both upstream and downstream. This is typically the largest portion for a product\'s PCF. Compliance with 95% coverage for Scope 3 is targeted.</w:t>
      </w:r>
    </w:p>
    <w:bookmarkEnd w:id="34"/>
    <w:bookmarkStart w:id="35" w:name="X31d4d3a761fd73383ff39520c666ff815c3e745"/>
    <w:p>
      <w:pPr>
        <w:pStyle w:val="Heading3"/>
      </w:pPr>
      <w:r>
        <w:t xml:space="preserve">Calculation Assumptions and Illustrative Emission Factors:</w:t>
      </w:r>
    </w:p>
    <w:p>
      <w:pPr>
        <w:pStyle w:val="FirstParagraph"/>
      </w:pPr>
      <w:r>
        <w:rPr>
          <w:iCs/>
          <w:i/>
        </w:rPr>
        <w:t xml:space="preserve">For the purpose of illustrating the calculation methodology, the following assumptions are made for the placeholder parameters:</w:t>
      </w:r>
    </w:p>
    <w:p>
      <w:pPr>
        <w:numPr>
          <w:ilvl w:val="0"/>
          <w:numId w:val="1013"/>
        </w:numPr>
        <w:pStyle w:val="Compact"/>
      </w:pPr>
      <w:r>
        <w:t xml:space="preserve">**BOM Material Emission Factors:** As per the hypothetical BOM table in Section 3.2.</w:t>
      </w:r>
    </w:p>
    <w:p>
      <w:pPr>
        <w:numPr>
          <w:ilvl w:val="0"/>
          <w:numId w:val="1013"/>
        </w:numPr>
        <w:pStyle w:val="Compact"/>
      </w:pPr>
      <w:r>
        <w:t xml:space="preserve">**China Grid Electricity Factor:** 0.6 kg CO2e/kWh (Illustrative, varies by year and region).</w:t>
      </w:r>
    </w:p>
    <w:p>
      <w:pPr>
        <w:numPr>
          <w:ilvl w:val="0"/>
          <w:numId w:val="1013"/>
        </w:numPr>
        <w:pStyle w:val="Compact"/>
      </w:pPr>
      <w:r>
        <w:t xml:space="preserve">**Renewable Energy Factor:** 0.0 kg CO2e/kWh (Assuming zero-emissions renewable source).</w:t>
      </w:r>
    </w:p>
    <w:p>
      <w:pPr>
        <w:numPr>
          <w:ilvl w:val="0"/>
          <w:numId w:val="1013"/>
        </w:numPr>
        <w:pStyle w:val="Compact"/>
      </w:pPr>
      <w:r>
        <w:t xml:space="preserve">**Illustrative \'ezklksdjzh\':** 10 kWh/unit.</w:t>
      </w:r>
    </w:p>
    <w:p>
      <w:pPr>
        <w:numPr>
          <w:ilvl w:val="0"/>
          <w:numId w:val="1013"/>
        </w:numPr>
        <w:pStyle w:val="Compact"/>
      </w:pPr>
      <w:r>
        <w:t xml:space="preserve">**Illustrative \'vufgvdpwzw\':** 50%.</w:t>
      </w:r>
    </w:p>
    <w:p>
      <w:pPr>
        <w:numPr>
          <w:ilvl w:val="0"/>
          <w:numId w:val="1013"/>
        </w:numPr>
        <w:pStyle w:val="Compact"/>
      </w:pPr>
      <w:r>
        <w:t xml:space="preserve">**Illustrative Product Weight:** 1.5 kg (approximated from BOM quantities).</w:t>
      </w:r>
    </w:p>
    <w:p>
      <w:pPr>
        <w:numPr>
          <w:ilvl w:val="0"/>
          <w:numId w:val="1013"/>
        </w:numPr>
        <w:pStyle w:val="Compact"/>
      </w:pPr>
      <w:r>
        <w:t xml:space="preserve">**Illustrative \'rrltjtmege\':** 10,000 km (main transport).</w:t>
      </w:r>
    </w:p>
    <w:p>
      <w:pPr>
        <w:numPr>
          <w:ilvl w:val="0"/>
          <w:numId w:val="1013"/>
        </w:numPr>
        <w:pStyle w:val="Compact"/>
      </w:pPr>
      <w:r>
        <w:t xml:space="preserve">**Illustrative \'Delivery Type\' component:** 50 km (last-mile delivery).</w:t>
      </w:r>
    </w:p>
    <w:p>
      <w:pPr>
        <w:numPr>
          <w:ilvl w:val="0"/>
          <w:numId w:val="1013"/>
        </w:numPr>
        <w:pStyle w:val="Compact"/>
      </w:pPr>
      <w:r>
        <w:t xml:space="preserve">**Illustrative \'Select Mode\':** Ocean Freight (main) and Road Freight (van) for last-mile.</w:t>
      </w:r>
    </w:p>
    <w:p>
      <w:pPr>
        <w:numPr>
          <w:ilvl w:val="0"/>
          <w:numId w:val="1013"/>
        </w:numPr>
        <w:pStyle w:val="Compact"/>
      </w:pPr>
      <w:r>
        <w:t xml:space="preserve">**Ocean Freight Emission Factor:** 0.01 kg CO2e/tkm (0.00001 kg CO2e/kg.km) (Illustrative).</w:t>
      </w:r>
    </w:p>
    <w:p>
      <w:pPr>
        <w:numPr>
          <w:ilvl w:val="0"/>
          <w:numId w:val="1013"/>
        </w:numPr>
        <w:pStyle w:val="Compact"/>
      </w:pPr>
      <w:r>
        <w:t xml:space="preserve">**Road Freight (Van) Emission Factor:** 0.1 kg CO2e/tkm (0.0001 kg CO2e/kg.km) (Illustrative).</w:t>
      </w:r>
    </w:p>
    <w:p>
      <w:pPr>
        <w:numPr>
          <w:ilvl w:val="0"/>
          <w:numId w:val="1013"/>
        </w:numPr>
        <w:pStyle w:val="Compact"/>
      </w:pPr>
      <w:r>
        <w:t xml:space="preserve">**Illustrative \'ptvyqmghqr\':** 5 years.</w:t>
      </w:r>
    </w:p>
    <w:p>
      <w:pPr>
        <w:numPr>
          <w:ilvl w:val="0"/>
          <w:numId w:val="1013"/>
        </w:numPr>
        <w:pStyle w:val="Compact"/>
      </w:pPr>
      <w:r>
        <w:t xml:space="preserve">**Illustrative \'geznplzkqt\':** 20 kWh/year (energy consumption in use).</w:t>
      </w:r>
    </w:p>
    <w:p>
      <w:pPr>
        <w:numPr>
          <w:ilvl w:val="0"/>
          <w:numId w:val="1013"/>
        </w:numPr>
        <w:pStyle w:val="Compact"/>
      </w:pPr>
      <w:r>
        <w:t xml:space="preserve">**Use Phase Electricity Factor (Global Average/User Region):** 0.4 kg CO2e/kWh (Illustrative).</w:t>
      </w:r>
    </w:p>
    <w:p>
      <w:pPr>
        <w:numPr>
          <w:ilvl w:val="0"/>
          <w:numId w:val="1013"/>
        </w:numPr>
        <w:pStyle w:val="Compact"/>
      </w:pPr>
      <w:r>
        <w:t xml:space="preserve">**Illustrative \'kigkfqdtms\':** 80%.</w:t>
      </w:r>
    </w:p>
    <w:p>
      <w:pPr>
        <w:numPr>
          <w:ilvl w:val="0"/>
          <w:numId w:val="1013"/>
        </w:numPr>
        <w:pStyle w:val="Compact"/>
      </w:pPr>
      <w:r>
        <w:t xml:space="preserve">**Illustrative \'vltmergzho\':** "Yes - Product Refurbishment Program".</w:t>
      </w:r>
    </w:p>
    <w:p>
      <w:pPr>
        <w:numPr>
          <w:ilvl w:val="0"/>
          <w:numId w:val="1013"/>
        </w:numPr>
        <w:pStyle w:val="Compact"/>
      </w:pPr>
      <w:r>
        <w:t xml:space="preserve">**End-of-Life:** Landfill: 1.0 kg CO2e/kg; Recycling Avoided Emissions: -0.5 kg CO2e/kg (Illustrative).</w:t>
      </w:r>
    </w:p>
    <w:bookmarkEnd w:id="35"/>
    <w:bookmarkStart w:id="41" w:name="X5f8fd089a0b3453f75d39fc60303c5aa14de9cb"/>
    <w:p>
      <w:pPr>
        <w:pStyle w:val="Heading3"/>
      </w:pPr>
      <w:r>
        <w:t xml:space="preserve">Illustrative PCF Calculation for \'etfhtdoily\'</w:t>
      </w:r>
    </w:p>
    <w:bookmarkStart w:id="36" w:name="Xbe46465b06d5d3fa2cc1b0e5bcc526050cef767"/>
    <w:p>
      <w:pPr>
        <w:pStyle w:val="Heading4"/>
      </w:pPr>
      <w:r>
        <w:t xml:space="preserve">a) Raw Material Acquisition &amp; Pre-processing (Scope 3, Category 1)</w:t>
      </w:r>
    </w:p>
    <w:p>
      <w:pPr>
        <w:pStyle w:val="FirstParagraph"/>
      </w:pPr>
      <w:r>
        <w:t xml:space="preserve">Sum of \'Total Carbon\' from the hypothetical BOM: 6.00 + 1.05 + 2.50 + 0.20 + 6.00 + 0.12 + 1.20 =</w:t>
      </w:r>
      <w:r>
        <w:t xml:space="preserve"> </w:t>
      </w:r>
      <w:r>
        <w:rPr>
          <w:bCs/>
          <w:b/>
        </w:rPr>
        <w:t xml:space="preserve">17.07 kg CO2e</w:t>
      </w:r>
    </w:p>
    <w:bookmarkEnd w:id="36"/>
    <w:bookmarkStart w:id="37" w:name="b-manufacturing-production-scope-2"/>
    <w:p>
      <w:pPr>
        <w:pStyle w:val="Heading4"/>
      </w:pPr>
      <w:r>
        <w:t xml:space="preserve">b) Manufacturing / Production (Scope 2)</w:t>
      </w:r>
    </w:p>
    <w:p>
      <w:pPr>
        <w:numPr>
          <w:ilvl w:val="0"/>
          <w:numId w:val="1014"/>
        </w:numPr>
        <w:pStyle w:val="Compact"/>
      </w:pPr>
      <w:r>
        <w:t xml:space="preserve">Total Energy Consumed: 10 kWh/unit (\'ezklksdjzh\')</w:t>
      </w:r>
    </w:p>
    <w:p>
      <w:pPr>
        <w:numPr>
          <w:ilvl w:val="0"/>
          <w:numId w:val="1014"/>
        </w:numPr>
        <w:pStyle w:val="Compact"/>
      </w:pPr>
      <w:r>
        <w:t xml:space="preserve">Non-Renewable Energy Percentage: (100 - 50%) = 50% (\'vufgvdpwzw\')</w:t>
      </w:r>
    </w:p>
    <w:p>
      <w:pPr>
        <w:numPr>
          <w:ilvl w:val="0"/>
          <w:numId w:val="1014"/>
        </w:numPr>
        <w:pStyle w:val="Compact"/>
      </w:pPr>
      <w:r>
        <w:t xml:space="preserve">Non-Renewable Energy Consumption: 10 kWh * 0.50 = 5 kWh/unit</w:t>
      </w:r>
    </w:p>
    <w:p>
      <w:pPr>
        <w:numPr>
          <w:ilvl w:val="0"/>
          <w:numId w:val="1014"/>
        </w:numPr>
        <w:pStyle w:val="Compact"/>
      </w:pPr>
      <w:r>
        <w:t xml:space="preserve">Emissions from Non-Renewable Energy: 5 kWh * 0.6 kg CO2e/kWh =</w:t>
      </w:r>
      <w:r>
        <w:t xml:space="preserve"> </w:t>
      </w:r>
      <w:r>
        <w:rPr>
          <w:bCs/>
          <w:b/>
        </w:rPr>
        <w:t xml:space="preserve">3.0 kg CO2e</w:t>
      </w:r>
    </w:p>
    <w:p>
      <w:pPr>
        <w:numPr>
          <w:ilvl w:val="0"/>
          <w:numId w:val="1014"/>
        </w:numPr>
        <w:pStyle w:val="Compact"/>
      </w:pPr>
      <w:r>
        <w:t xml:space="preserve">Emissions from Renewable Energy: 0 kg CO2e</w:t>
      </w:r>
    </w:p>
    <w:p>
      <w:pPr>
        <w:pStyle w:val="FirstParagraph"/>
      </w:pPr>
      <w:r>
        <w:rPr>
          <w:bCs/>
          <w:b/>
        </w:rPr>
        <w:t xml:space="preserve">Total Manufacturing Emissions (Scope 2): 3.00 kg CO2e</w:t>
      </w:r>
    </w:p>
    <w:bookmarkEnd w:id="37"/>
    <w:bookmarkStart w:id="38" w:name="c-transportation-scope-3-category-4-9"/>
    <w:p>
      <w:pPr>
        <w:pStyle w:val="Heading4"/>
      </w:pPr>
      <w:r>
        <w:t xml:space="preserve">c) Transportation (Scope 3, Category 4 &amp; 9)</w:t>
      </w:r>
    </w:p>
    <w:p>
      <w:pPr>
        <w:pStyle w:val="FirstParagraph"/>
      </w:pPr>
      <w:r>
        <w:t xml:space="preserve">(Using Product Weight = 1.5 kg)</w:t>
      </w:r>
    </w:p>
    <w:p>
      <w:pPr>
        <w:numPr>
          <w:ilvl w:val="0"/>
          <w:numId w:val="1015"/>
        </w:numPr>
        <w:pStyle w:val="Compact"/>
      </w:pPr>
      <w:r>
        <w:rPr>
          <w:bCs/>
          <w:b/>
        </w:rPr>
        <w:t xml:space="preserve">Outbound (Factory to Customer - Main):</w:t>
      </w:r>
    </w:p>
    <w:p>
      <w:pPr>
        <w:numPr>
          <w:ilvl w:val="1"/>
          <w:numId w:val="1016"/>
        </w:numPr>
        <w:pStyle w:val="Compact"/>
      </w:pPr>
      <w:r>
        <w:t xml:space="preserve">Distance: 10,000 km (\'rrltjtmege\')</w:t>
      </w:r>
    </w:p>
    <w:p>
      <w:pPr>
        <w:numPr>
          <w:ilvl w:val="1"/>
          <w:numId w:val="1016"/>
        </w:numPr>
        <w:pStyle w:val="Compact"/>
      </w:pPr>
      <w:r>
        <w:t xml:space="preserve">Mode: Ocean Freight (\'Select Mode\')</w:t>
      </w:r>
    </w:p>
    <w:p>
      <w:pPr>
        <w:numPr>
          <w:ilvl w:val="1"/>
          <w:numId w:val="1016"/>
        </w:numPr>
        <w:pStyle w:val="Compact"/>
      </w:pPr>
      <w:r>
        <w:t xml:space="preserve">Emissions: 1.5 kg * 10,000 km * 0.00001 kg CO2e/kg.km =</w:t>
      </w:r>
      <w:r>
        <w:t xml:space="preserve"> </w:t>
      </w:r>
      <w:r>
        <w:rPr>
          <w:bCs/>
          <w:b/>
        </w:rPr>
        <w:t xml:space="preserve">0.15 kg CO2e</w:t>
      </w:r>
    </w:p>
    <w:p>
      <w:pPr>
        <w:numPr>
          <w:ilvl w:val="0"/>
          <w:numId w:val="1015"/>
        </w:numPr>
        <w:pStyle w:val="Compact"/>
      </w:pPr>
      <w:r>
        <w:rPr>
          <w:bCs/>
          <w:b/>
        </w:rPr>
        <w:t xml:space="preserve">Last-Mile Delivery:</w:t>
      </w:r>
    </w:p>
    <w:p>
      <w:pPr>
        <w:numPr>
          <w:ilvl w:val="1"/>
          <w:numId w:val="1017"/>
        </w:numPr>
        <w:pStyle w:val="Compact"/>
      </w:pPr>
      <w:r>
        <w:t xml:space="preserve">Distance: 50 km (component of \'Delivery Type\')</w:t>
      </w:r>
    </w:p>
    <w:p>
      <w:pPr>
        <w:numPr>
          <w:ilvl w:val="1"/>
          <w:numId w:val="1017"/>
        </w:numPr>
        <w:pStyle w:val="Compact"/>
      </w:pPr>
      <w:r>
        <w:t xml:space="preserve">Mode: Road Freight (Van)</w:t>
      </w:r>
    </w:p>
    <w:p>
      <w:pPr>
        <w:numPr>
          <w:ilvl w:val="1"/>
          <w:numId w:val="1017"/>
        </w:numPr>
        <w:pStyle w:val="Compact"/>
      </w:pPr>
      <w:r>
        <w:t xml:space="preserve">Emissions: 1.5 kg * 50 km * 0.0001 kg CO2e/kg.km =</w:t>
      </w:r>
      <w:r>
        <w:t xml:space="preserve"> </w:t>
      </w:r>
      <w:r>
        <w:rPr>
          <w:bCs/>
          <w:b/>
        </w:rPr>
        <w:t xml:space="preserve">0.0075 kg CO2e</w:t>
      </w:r>
    </w:p>
    <w:p>
      <w:pPr>
        <w:pStyle w:val="FirstParagraph"/>
      </w:pPr>
      <w:r>
        <w:rPr>
          <w:bCs/>
          <w:b/>
        </w:rPr>
        <w:t xml:space="preserve">Total Transportation Emissions (Scope 3): 0.15 + 0.0075 = 0.1575 kg CO2e</w:t>
      </w:r>
    </w:p>
    <w:bookmarkEnd w:id="38"/>
    <w:bookmarkStart w:id="39" w:name="d-use-phase-scope-3-category-11"/>
    <w:p>
      <w:pPr>
        <w:pStyle w:val="Heading4"/>
      </w:pPr>
      <w:r>
        <w:t xml:space="preserve">d) Use Phase (Scope 3, Category 11)</w:t>
      </w:r>
    </w:p>
    <w:p>
      <w:pPr>
        <w:numPr>
          <w:ilvl w:val="0"/>
          <w:numId w:val="1018"/>
        </w:numPr>
        <w:pStyle w:val="Compact"/>
      </w:pPr>
      <w:r>
        <w:t xml:space="preserve">Product Lifespan: 5 years (\'ptvyqmghqr\')</w:t>
      </w:r>
    </w:p>
    <w:p>
      <w:pPr>
        <w:numPr>
          <w:ilvl w:val="0"/>
          <w:numId w:val="1018"/>
        </w:numPr>
        <w:pStyle w:val="Compact"/>
      </w:pPr>
      <w:r>
        <w:t xml:space="preserve">Energy Consumption in Use: 20 kWh/year (\'geznplzkqt\')</w:t>
      </w:r>
    </w:p>
    <w:p>
      <w:pPr>
        <w:numPr>
          <w:ilvl w:val="0"/>
          <w:numId w:val="1018"/>
        </w:numPr>
        <w:pStyle w:val="Compact"/>
      </w:pPr>
      <w:r>
        <w:t xml:space="preserve">Total Energy Consumption over Lifespan: 5 years * 20 kWh/year = 100 kWh</w:t>
      </w:r>
    </w:p>
    <w:p>
      <w:pPr>
        <w:numPr>
          <w:ilvl w:val="0"/>
          <w:numId w:val="1018"/>
        </w:numPr>
        <w:pStyle w:val="Compact"/>
      </w:pPr>
      <w:r>
        <w:t xml:space="preserve">Emissions: 100 kWh * 0.4 kg CO2e/kWh =</w:t>
      </w:r>
      <w:r>
        <w:t xml:space="preserve"> </w:t>
      </w:r>
      <w:r>
        <w:rPr>
          <w:bCs/>
          <w:b/>
        </w:rPr>
        <w:t xml:space="preserve">40.0 kg CO2e</w:t>
      </w:r>
    </w:p>
    <w:p>
      <w:pPr>
        <w:pStyle w:val="FirstParagraph"/>
      </w:pPr>
      <w:r>
        <w:rPr>
          <w:bCs/>
          <w:b/>
        </w:rPr>
        <w:t xml:space="preserve">Total Use Phase Emissions (Scope 3): 40.00 kg CO2e</w:t>
      </w:r>
    </w:p>
    <w:bookmarkEnd w:id="39"/>
    <w:bookmarkStart w:id="40" w:name="X8bc99e81cdb46db9cc33eb17348f9095e37f394"/>
    <w:p>
      <w:pPr>
        <w:pStyle w:val="Heading4"/>
      </w:pPr>
      <w:r>
        <w:t xml:space="preserve">e) End-of-Life (EoL) Treatment (Scope 3, Category 12)</w:t>
      </w:r>
    </w:p>
    <w:p>
      <w:pPr>
        <w:pStyle w:val="FirstParagraph"/>
      </w:pPr>
      <w:r>
        <w:t xml:space="preserve">(Using total product weight at EoL = 1.5 kg; Recyclability Percentage = 80%)</w:t>
      </w:r>
    </w:p>
    <w:p>
      <w:pPr>
        <w:numPr>
          <w:ilvl w:val="0"/>
          <w:numId w:val="1019"/>
        </w:numPr>
        <w:pStyle w:val="Compact"/>
      </w:pPr>
      <w:r>
        <w:t xml:space="preserve">Recycled Portion: 1.5 kg * 0.80 = 1.2 kg</w:t>
      </w:r>
    </w:p>
    <w:p>
      <w:pPr>
        <w:numPr>
          <w:ilvl w:val="0"/>
          <w:numId w:val="1019"/>
        </w:numPr>
        <w:pStyle w:val="Compact"/>
      </w:pPr>
      <w:r>
        <w:t xml:space="preserve">Landfilled Portion: 1.5 kg * 0.20 = 0.3 kg</w:t>
      </w:r>
    </w:p>
    <w:p>
      <w:pPr>
        <w:numPr>
          <w:ilvl w:val="0"/>
          <w:numId w:val="1019"/>
        </w:numPr>
        <w:pStyle w:val="Compact"/>
      </w:pPr>
      <w:r>
        <w:t xml:space="preserve">Emissions from Landfill: 0.3 kg * 1.0 kg CO2e/kg = 0.30 kg CO2e</w:t>
      </w:r>
    </w:p>
    <w:p>
      <w:pPr>
        <w:numPr>
          <w:ilvl w:val="0"/>
          <w:numId w:val="1019"/>
        </w:numPr>
        <w:pStyle w:val="Compact"/>
      </w:pPr>
      <w:r>
        <w:t xml:space="preserve">Avoided Emissions from Recycling: 1.2 kg * (-0.5 kg CO2e/kg) = -0.60 kg CO2e</w:t>
      </w:r>
    </w:p>
    <w:p>
      <w:pPr>
        <w:pStyle w:val="FirstParagraph"/>
      </w:pPr>
      <w:r>
        <w:rPr>
          <w:bCs/>
          <w:b/>
        </w:rPr>
        <w:t xml:space="preserve">Total End-of-Life Emissions (Scope 3): 0.30 - 0.60 = -0.30 kg CO2e</w:t>
      </w:r>
      <w:r>
        <w:t xml:space="preserve"> </w:t>
      </w:r>
      <w:r>
        <w:t xml:space="preserve">(net removal/avoidance due to high recyclability and circularity efforts like \'vltmergzho\'.)</w:t>
      </w:r>
    </w:p>
    <w:bookmarkEnd w:id="40"/>
    <w:bookmarkEnd w:id="41"/>
    <w:bookmarkStart w:id="43" w:name="X9b435f9006cf04294f943c0bc3e88ac8be6bd1a"/>
    <w:p>
      <w:pPr>
        <w:pStyle w:val="Heading3"/>
      </w:pPr>
      <w:r>
        <w:t xml:space="preserve">Total Product Carbon Footprint (Illustrative)</w:t>
      </w:r>
    </w:p>
    <w:p>
      <w:pPr>
        <w:pStyle w:val="FirstParagraph"/>
      </w:pPr>
      <w:r>
        <w:t xml:space="preserve">Summing up the illustrative emissions from each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r>
      <w:tr>
        <w:tc>
          <w:tcPr/>
          <w:p>
            <w:pPr>
              <w:pStyle w:val="Compact"/>
              <w:jc w:val="left"/>
            </w:pPr>
            <w:r>
              <w:t xml:space="preserve">Raw Material Acquisition &amp; Pre-processing</w:t>
            </w:r>
          </w:p>
        </w:tc>
        <w:tc>
          <w:tcPr/>
          <w:p>
            <w:pPr>
              <w:pStyle w:val="Compact"/>
              <w:jc w:val="left"/>
            </w:pPr>
            <w:r>
              <w:t xml:space="preserve">Scope 3, Cat 1</w:t>
            </w:r>
          </w:p>
        </w:tc>
        <w:tc>
          <w:tcPr/>
          <w:p>
            <w:pPr>
              <w:pStyle w:val="Compact"/>
              <w:jc w:val="left"/>
            </w:pPr>
            <w:r>
              <w:t xml:space="preserve">17.07</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Transportation (Outbound &amp; Last-Mile)</w:t>
            </w:r>
          </w:p>
        </w:tc>
        <w:tc>
          <w:tcPr/>
          <w:p>
            <w:pPr>
              <w:pStyle w:val="Compact"/>
              <w:jc w:val="left"/>
            </w:pPr>
            <w:r>
              <w:t xml:space="preserve">Scope 3, Cat 4 &amp; 9</w:t>
            </w:r>
          </w:p>
        </w:tc>
        <w:tc>
          <w:tcPr/>
          <w:p>
            <w:pPr>
              <w:pStyle w:val="Compact"/>
              <w:jc w:val="left"/>
            </w:pPr>
            <w:r>
              <w:t xml:space="preserve">0.16</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-0.30</w:t>
            </w:r>
          </w:p>
        </w:tc>
      </w:tr>
      <w:tr>
        <w:tc>
          <w:tcPr>
            <w:gridSpan w:val="2"/>
          </w:tcPr>
          <w:p>
            <w:pPr>
              <w:pStyle w:val="Compact"/>
              <w:jc w:val="left"/>
            </w:pPr>
            <w:r>
              <w:rPr>
                <w:bCs/>
                <w:b/>
              </w:rPr>
              <w:t xml:space="preserve">TOTAL PRODUCT CARBON FOOTPRINT</w:t>
            </w:r>
          </w:p>
        </w:tc>
        <w:tc>
          <w:tcPr/>
          <w:p>
            <w:pPr>
              <w:pStyle w:val="Compact"/>
              <w:jc w:val="left"/>
            </w:pPr>
            <w:r>
              <w:rPr>
                <w:bCs/>
                <w:b/>
              </w:rPr>
              <w:t xml:space="preserve">60.93 kg CO2e/unit</w:t>
            </w:r>
          </w:p>
        </w:tc>
      </w:tr>
    </w:tbl>
    <w:p>
      <w:pPr>
        <w:pStyle w:val="BodyText"/>
      </w:pPr>
      <w:r>
        <w:rPr>
          <w:iCs/>
          <w:i/>
        </w:rPr>
        <w:t xml:space="preserve">These calculations are illustrative. Actual \'senifort\' BOM data, precise transport routes and modes, company-specific energy data, and detailed end-of-life process information are required for accurate PCF results.</w:t>
      </w:r>
    </w:p>
    <w:bookmarkStart w:id="42" w:name="scope-3-compliance"/>
    <w:p>
      <w:pPr>
        <w:pStyle w:val="Heading4"/>
      </w:pPr>
      <w:r>
        <w:t xml:space="preserve">Scope 3 Compliance</w:t>
      </w:r>
    </w:p>
    <w:p>
      <w:pPr>
        <w:pStyle w:val="FirstParagraph"/>
      </w:pPr>
      <w:r>
        <w:t xml:space="preserve">Based on the illustrative calculation, Scope 3 emissions (Raw Materials + Transport + Use Phase + EoL) account for: (17.07 + 0.16 + 40.00 - 0.30) = 56.93 kg CO2e.</w:t>
      </w:r>
      <w:r>
        <w:t xml:space="preserve"> </w:t>
      </w:r>
      <w:r>
        <w:t xml:space="preserve">Total PCF (Scopes 1, 2, &amp; 3) = 60.93 kg CO2e.</w:t>
      </w:r>
      <w:r>
        <w:t xml:space="preserve"> </w:t>
      </w:r>
      <w:r>
        <w:t xml:space="preserve">Illustrative Scope 3 coverage: (56.93 / 60.93) * 100% = 93.4%.</w:t>
      </w:r>
      <w:r>
        <w:t xml:space="preserve"> </w:t>
      </w:r>
      <w:r>
        <w:t xml:space="preserve">To meet the 2026 requirement of at least 95% coverage, further investigation into minor Scope 3 categories (e.g., business travel, employee commuting, waste generated in operations) would be necessary if they contribute significantly, or refinement of the included categories to ensure all major contributors are captured. For this product-level analysis, the major upstream and downstream categories are well-covered.</w:t>
      </w:r>
    </w:p>
    <w:p>
      <w:r>
        <w:pict>
          <v:rect style="width:0;height:1.5pt" o:hralign="center" o:hrstd="t" o:hr="t"/>
        </w:pict>
      </w:r>
    </w:p>
    <w:bookmarkEnd w:id="42"/>
    <w:bookmarkEnd w:id="43"/>
    <w:bookmarkEnd w:id="44"/>
    <w:bookmarkStart w:id="48" w:name="review-report"/>
    <w:p>
      <w:pPr>
        <w:pStyle w:val="Heading2"/>
      </w:pPr>
      <w:r>
        <w:t xml:space="preserve">5. Review &amp; Report</w:t>
      </w:r>
    </w:p>
    <w:p>
      <w:pPr>
        <w:pStyle w:val="FirstParagraph"/>
      </w:pPr>
      <w:r>
        <w:t xml:space="preserve">The final stage involves reviewing the results, identifying hotspots, assessing reliability, and providing recommendations.</w:t>
      </w:r>
    </w:p>
    <w:bookmarkStart w:id="45" w:name="emission-hotspots"/>
    <w:p>
      <w:pPr>
        <w:pStyle w:val="Heading3"/>
      </w:pPr>
      <w:r>
        <w:t xml:space="preserve">5.1 Emission Hotspots</w:t>
      </w:r>
    </w:p>
    <w:p>
      <w:pPr>
        <w:pStyle w:val="FirstParagraph"/>
      </w:pPr>
      <w:r>
        <w:t xml:space="preserve">Based on the illustrative calculations, the primary emission hotspots for \'etfhtdoily\' are:</w:t>
      </w:r>
    </w:p>
    <w:p>
      <w:pPr>
        <w:numPr>
          <w:ilvl w:val="0"/>
          <w:numId w:val="1020"/>
        </w:numPr>
        <w:pStyle w:val="Compact"/>
      </w:pPr>
      <w:r>
        <w:rPr>
          <w:bCs/>
          <w:b/>
        </w:rPr>
        <w:t xml:space="preserve">Use Phase (Approx. 65.6% of total PCF):</w:t>
      </w:r>
      <w:r>
        <w:t xml:space="preserve"> </w:t>
      </w:r>
      <w:r>
        <w:t xml:space="preserve">Energy consumption during the product\'s lifespan is the most significant contributor. This highlights the importance of energy efficiency during product design and user behavior.</w:t>
      </w:r>
    </w:p>
    <w:p>
      <w:pPr>
        <w:numPr>
          <w:ilvl w:val="0"/>
          <w:numId w:val="1020"/>
        </w:numPr>
        <w:pStyle w:val="Compact"/>
      </w:pPr>
      <w:r>
        <w:rPr>
          <w:bCs/>
          <w:b/>
        </w:rPr>
        <w:t xml:space="preserve">Raw Material Acquisition (Approx. 28.0% of total PCF):</w:t>
      </w:r>
      <w:r>
        <w:t xml:space="preserve"> </w:t>
      </w:r>
      <w:r>
        <w:t xml:space="preserve">The production of materials, especially aluminum and lithium-ion batteries, contributes substantially. Sourcing lower-impact materials or increasing recycled content is crucial here.</w:t>
      </w:r>
    </w:p>
    <w:p>
      <w:pPr>
        <w:numPr>
          <w:ilvl w:val="0"/>
          <w:numId w:val="1020"/>
        </w:numPr>
        <w:pStyle w:val="Compact"/>
      </w:pPr>
      <w:r>
        <w:rPr>
          <w:bCs/>
          <w:b/>
        </w:rPr>
        <w:t xml:space="preserve">Manufacturing (Approx. 4.9% of total PCF):</w:t>
      </w:r>
      <w:r>
        <w:t xml:space="preserve"> </w:t>
      </w:r>
      <w:r>
        <w:t xml:space="preserve">While less dominant than use phase or materials, optimizing energy efficiency and increasing renewable energy penetration at the factory are important.</w:t>
      </w:r>
    </w:p>
    <w:bookmarkEnd w:id="45"/>
    <w:bookmarkStart w:id="46"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w:t>
      </w:r>
    </w:p>
    <w:p>
      <w:pPr>
        <w:numPr>
          <w:ilvl w:val="0"/>
          <w:numId w:val="1021"/>
        </w:numPr>
        <w:pStyle w:val="Compact"/>
      </w:pPr>
      <w:r>
        <w:rPr>
          <w:bCs/>
          <w:b/>
        </w:rPr>
        <w:t xml:space="preserve">Data Gaps:</w:t>
      </w:r>
      <w:r>
        <w:t xml:space="preserve"> </w:t>
      </w:r>
      <w:r>
        <w:t xml:space="preserve">The actual \'senifort\' BOM, precise transport logistics (\'Select Mode\', \'rrltjtmege\', \'Delivery Type\'), and exact operational energy data (\'vufgvdpwzw\', \'ezklksdjzh\', \'ptvyqmghqr\', \'geznplzkqt\', \'kigkfqdtms\', \'vltmergzho\') were provided as placeholders. The illustrative calculations are based on reasonable assumptions and generic emission factors.</w:t>
      </w:r>
    </w:p>
    <w:p>
      <w:pPr>
        <w:numPr>
          <w:ilvl w:val="0"/>
          <w:numId w:val="1021"/>
        </w:numPr>
        <w:pStyle w:val="Compact"/>
      </w:pPr>
      <w:r>
        <w:rPr>
          <w:bCs/>
          <w:b/>
        </w:rPr>
        <w:t xml:space="preserve">Emission Factors:</w:t>
      </w:r>
      <w:r>
        <w:t xml:space="preserve"> </w:t>
      </w:r>
      <w:r>
        <w:t xml:space="preserve">Generic industry-average emission factors were used due to the absence of direct access to specific databases (Ecoinvent, DEFRA). Product-specific or supplier-specific emission factors would enhance accuracy.</w:t>
      </w:r>
    </w:p>
    <w:p>
      <w:pPr>
        <w:numPr>
          <w:ilvl w:val="0"/>
          <w:numId w:val="1021"/>
        </w:numPr>
        <w:pStyle w:val="Compact"/>
      </w:pPr>
      <w:r>
        <w:rPr>
          <w:bCs/>
          <w:b/>
        </w:rPr>
        <w:t xml:space="preserve">System Boundary:</w:t>
      </w:r>
      <w:r>
        <w:t xml:space="preserve"> </w:t>
      </w:r>
      <w:r>
        <w:t xml:space="preserve">While a \'factory_gate\' direct boundary was defined, the comprehensive Scope 3 analysis extends beyond this for a full lifecycle view, aligning with GHG Protocol best practices.</w:t>
      </w:r>
    </w:p>
    <w:p>
      <w:pPr>
        <w:numPr>
          <w:ilvl w:val="0"/>
          <w:numId w:val="1021"/>
        </w:numPr>
        <w:pStyle w:val="Compact"/>
      </w:pPr>
      <w:r>
        <w:rPr>
          <w:bCs/>
          <w:b/>
        </w:rPr>
        <w:t xml:space="preserve">LSR Standard:</w:t>
      </w:r>
      <w:r>
        <w:t xml:space="preserve"> </w:t>
      </w:r>
      <w:r>
        <w:t xml:space="preserve">The integration of the 2026 LSR Standard for land use and removals is primarily reflected in avoided emissions from recycling and circularity. Direct land-use impacts for industrial products are generally lower but would require specific assessment if raw materials have significant land-intensive origins.</w:t>
      </w:r>
    </w:p>
    <w:bookmarkEnd w:id="46"/>
    <w:bookmarkStart w:id="47" w:name="recommendations"/>
    <w:p>
      <w:pPr>
        <w:pStyle w:val="Heading3"/>
      </w:pPr>
      <w:r>
        <w:t xml:space="preserve">5.3 Recommendations</w:t>
      </w:r>
    </w:p>
    <w:p>
      <w:pPr>
        <w:pStyle w:val="FirstParagraph"/>
      </w:pPr>
      <w:r>
        <w:t xml:space="preserve">To reduce the carbon footprint of \'etfhtdoily\' and improve overall sustainability, mzldtxiopz should consider the following:</w:t>
      </w:r>
    </w:p>
    <w:p>
      <w:pPr>
        <w:numPr>
          <w:ilvl w:val="0"/>
          <w:numId w:val="1022"/>
        </w:numPr>
        <w:pStyle w:val="Compact"/>
      </w:pPr>
      <w:r>
        <w:rPr>
          <w:bCs/>
          <w:b/>
        </w:rPr>
        <w:t xml:space="preserve">Product Design for Energy Efficiency:</w:t>
      </w:r>
      <w:r>
        <w:t xml:space="preserve"> </w:t>
      </w:r>
      <w:r>
        <w:t xml:space="preserve">Focus on engineering \'etfhtdoily\' to minimize energy consumption during its use phase. This includes exploring more efficient components, lower power modes, and longer battery life if applicable.</w:t>
      </w:r>
    </w:p>
    <w:p>
      <w:pPr>
        <w:numPr>
          <w:ilvl w:val="0"/>
          <w:numId w:val="1022"/>
        </w:numPr>
        <w:pStyle w:val="Compact"/>
      </w:pPr>
      <w:r>
        <w:rPr>
          <w:bCs/>
          <w:b/>
        </w:rPr>
        <w:t xml:space="preserve">Sustainable Material Sourcing:</w:t>
      </w:r>
      <w:r>
        <w:t xml:space="preserve"> </w:t>
      </w:r>
      <w:r>
        <w:t xml:space="preserve">Prioritize materials with lower embedded carbon, increase the use of recycled content (e.g., recycled aluminum, post-consumer plastics), and explore bio-based alternatives where feasible. Engaging with suppliers for primary data on their material footprints is critical.</w:t>
      </w:r>
    </w:p>
    <w:p>
      <w:pPr>
        <w:numPr>
          <w:ilvl w:val="0"/>
          <w:numId w:val="1022"/>
        </w:numPr>
        <w:pStyle w:val="Compact"/>
      </w:pPr>
      <w:r>
        <w:rPr>
          <w:bCs/>
          <w:b/>
        </w:rPr>
        <w:t xml:space="preserve">Renewable Energy Adoption:</w:t>
      </w:r>
      <w:r>
        <w:t xml:space="preserve"> </w:t>
      </w:r>
      <w:r>
        <w:t xml:space="preserve">Increase the percentage of renewable energy used in manufacturing facilities beyond \'vufgvdpwzw\'%. Explore power purchase agreements (PPAs) or on-site renewable energy generation.</w:t>
      </w:r>
    </w:p>
    <w:p>
      <w:pPr>
        <w:numPr>
          <w:ilvl w:val="0"/>
          <w:numId w:val="1022"/>
        </w:numPr>
        <w:pStyle w:val="Compact"/>
      </w:pPr>
      <w:r>
        <w:rPr>
          <w:bCs/>
          <w:b/>
        </w:rPr>
        <w:t xml:space="preserve">Optimized Logistics:</w:t>
      </w:r>
      <w:r>
        <w:t xml:space="preserve"> </w:t>
      </w:r>
      <w:r>
        <w:t xml:space="preserve">Analyze transport modes, distances, and consolidation opportunities to minimize emissions. Consider shifting to lower-carbon transport options where practical.</w:t>
      </w:r>
    </w:p>
    <w:p>
      <w:pPr>
        <w:numPr>
          <w:ilvl w:val="0"/>
          <w:numId w:val="1022"/>
        </w:numPr>
        <w:pStyle w:val="Compact"/>
      </w:pPr>
      <w:r>
        <w:rPr>
          <w:bCs/>
          <w:b/>
        </w:rPr>
        <w:t xml:space="preserve">Strengthen Circular Economy Programs:</w:t>
      </w:r>
      <w:r>
        <w:t xml:space="preserve"> </w:t>
      </w:r>
      <w:r>
        <w:t xml:space="preserve">Enhance \'vltmergzho\' programs to further boost recyclability and product longevity, potentially including refurbishment, repair, and remanufacturing initiatives. This maximizes avoided emissions at End-of-Life.</w:t>
      </w:r>
    </w:p>
    <w:p>
      <w:pPr>
        <w:numPr>
          <w:ilvl w:val="0"/>
          <w:numId w:val="1022"/>
        </w:numPr>
        <w:pStyle w:val="Compact"/>
      </w:pPr>
      <w:r>
        <w:rPr>
          <w:bCs/>
          <w:b/>
        </w:rPr>
        <w:t xml:space="preserve">Data Collection Improvement:</w:t>
      </w:r>
      <w:r>
        <w:t xml:space="preserve"> </w:t>
      </w:r>
      <w:r>
        <w:t xml:space="preserve">Implement systems to collect more specific and accurate primary data for BOM, energy consumption, and transport for future, more precise PCF analyses.</w:t>
      </w:r>
    </w:p>
    <w:p>
      <w:pPr>
        <w:numPr>
          <w:ilvl w:val="0"/>
          <w:numId w:val="1022"/>
        </w:numPr>
        <w:pStyle w:val="Compact"/>
      </w:pPr>
      <w:r>
        <w:rPr>
          <w:bCs/>
          <w:b/>
        </w:rPr>
        <w:t xml:space="preserve">Supplier Engagement:</w:t>
      </w:r>
      <w:r>
        <w:t xml:space="preserve"> </w:t>
      </w:r>
      <w:r>
        <w:t xml:space="preserve">Collaborate with upstream suppliers to understand and reduce their emissions (Scope 3, Category 1).</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etfhtdoily</dc:title>
  <dc:creator/>
  <dc:description>Detailed Product Carbon Footprint (PCF) analysis report for etfhtdoily, conducted by nhvhhskttp for mzldtxiopz, adhering to GHG Protocol standards and 2026 LSR updates.</dc:description>
  <dc:language>en</dc:language>
  <cp:keywords/>
  <dcterms:created xsi:type="dcterms:W3CDTF">2026-05-30T19:48:44Z</dcterms:created>
  <dcterms:modified xsi:type="dcterms:W3CDTF">2026-05-30T19:48:44Z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