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eteyxefnwn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eteyxefnwn</w:t>
      </w:r>
    </w:p>
    <w:p>
      <w:pPr>
        <w:pStyle w:val="BodyText"/>
      </w:pPr>
      <w:r>
        <w:rPr>
          <w:bCs/>
          <w:b/>
        </w:rPr>
        <w:t xml:space="preserve">Company:</w:t>
      </w:r>
      <w:r>
        <w:t xml:space="preserve"> </w:t>
      </w:r>
      <w:r>
        <w:t xml:space="preserve">nmgyvpzewq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lrkuinuugx</w:t>
      </w:r>
    </w:p>
    <w:p>
      <w:pPr>
        <w:pStyle w:val="BodyText"/>
      </w:pPr>
      <w:r>
        <w:t xml:space="preserve">Disclaimer: This report is generated based on available data and industry standards. While efforts have been made to ensure accuracy, the actual impact may vary depending on real-world conditions and data availability.</w:t>
      </w:r>
    </w:p>
    <w:bookmarkEnd w:id="20"/>
    <w:bookmarkStart w:id="42" w:name="Xd09722de4464eed22006957cc5bc02e4a8c4127"/>
    <w:p>
      <w:pPr>
        <w:pStyle w:val="Heading1"/>
      </w:pPr>
      <w:r>
        <w:t xml:space="preserve">Product Carbon Footprint (PCF) Analysis Report for eteyxefnwn</w:t>
      </w:r>
    </w:p>
    <w:p>
      <w:pPr>
        <w:pStyle w:val="FirstParagraph"/>
      </w:pPr>
      <w:r>
        <w:rPr>
          <w:bCs/>
          <w:b/>
        </w:rPr>
        <w:t xml:space="preserve">Generated Date:</w:t>
      </w:r>
      <w:r>
        <w:t xml:space="preserve"> </w:t>
      </w:r>
      <w:r>
        <w:t xml:space="preserve">May 27, 2026</w:t>
      </w:r>
    </w:p>
    <w:p>
      <w:pPr>
        <w:pStyle w:val="BodyText"/>
      </w:pPr>
      <w:r>
        <w:rPr>
          <w:bCs/>
          <w:b/>
        </w:rPr>
        <w:t xml:space="preserve">Prepared by:</w:t>
      </w:r>
      <w:r>
        <w:t xml:space="preserve"> </w:t>
      </w:r>
      <w:r>
        <w:t xml:space="preserve">lrkuinuugx,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eteyxefnwn, manufactured by nmgyvpzewq. The analysis adheres to the Greenhouse Gas (GHG) Protocol, including consideration of the 2026 updates for Scope 3 reporting and the Land Sector and Removals (LSR) Standard. The total estimated cradle-to-grave PCF for one functional unit of eteyxefnwn is 71.08 kgCO2e. The Use Phase contributes the most significant portion of the footprint, highlighting the importance of energy efficiency during product operation.</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eteyxefnwn</w:t>
      </w:r>
      <w:r>
        <w:t xml:space="preserve">.</w:t>
      </w:r>
    </w:p>
    <w:bookmarkEnd w:id="22"/>
    <w:bookmarkStart w:id="23" w:name="system-boundary"/>
    <w:p>
      <w:pPr>
        <w:pStyle w:val="Heading3"/>
      </w:pPr>
      <w:r>
        <w:t xml:space="preserve">System Boundary</w:t>
      </w:r>
    </w:p>
    <w:p>
      <w:pPr>
        <w:pStyle w:val="FirstParagraph"/>
      </w:pPr>
      <w:r>
        <w:t xml:space="preserve">The system boundary for this analysis is</w:t>
      </w:r>
      <w:r>
        <w:t xml:space="preserve"> </w:t>
      </w:r>
      <w:r>
        <w:rPr>
          <w:bCs/>
          <w:b/>
        </w:rPr>
        <w:t xml:space="preserve">factory_gate</w:t>
      </w:r>
      <w:r>
        <w:t xml:space="preserve">, extending to include downstream use and end-of-life stages (cradle-to-grave). This includes raw material acquisition, manufacturing, transportation to market, product use, and end-of-life treatment.</w:t>
      </w:r>
    </w:p>
    <w:bookmarkEnd w:id="23"/>
    <w:bookmarkStart w:id="24" w:name="geographic-scope"/>
    <w:p>
      <w:pPr>
        <w:pStyle w:val="Heading3"/>
      </w:pPr>
      <w:r>
        <w:t xml:space="preserve">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Emission factors are selected to reflect these geographical contexts where possible.</w:t>
      </w:r>
    </w:p>
    <w:bookmarkEnd w:id="24"/>
    <w:bookmarkStart w:id="25" w:name="allocation"/>
    <w:p>
      <w:pPr>
        <w:pStyle w:val="Heading3"/>
      </w:pPr>
      <w:r>
        <w:t xml:space="preserve">Allocation</w:t>
      </w:r>
    </w:p>
    <w:p>
      <w:pPr>
        <w:pStyle w:val="FirstParagraph"/>
      </w:pPr>
      <w:r>
        <w:t xml:space="preserve">Emissions are allocated directly to the functional unit. For multi-functional processes, mass-based allocation is applied. Recycling benefits are accounted for as avoided emissions at the end-of-life stage.</w:t>
      </w:r>
    </w:p>
    <w:p>
      <w:r>
        <w:pict>
          <v:rect style="width:0;height:1.5pt" o:hralign="center" o:hrstd="t" o:hr="t"/>
        </w:pict>
      </w:r>
    </w:p>
    <w:bookmarkEnd w:id="25"/>
    <w:bookmarkEnd w:id="26"/>
    <w:bookmarkStart w:id="29" w:name="map-lifecycle-lci-inventory-stages"/>
    <w:p>
      <w:pPr>
        <w:pStyle w:val="Heading2"/>
      </w:pPr>
      <w:r>
        <w:t xml:space="preserve">2. Map Lifecycle (LCI Inventory Stages)</w:t>
      </w:r>
    </w:p>
    <w:p>
      <w:pPr>
        <w:pStyle w:val="FirstParagraph"/>
      </w:pPr>
      <w:r>
        <w:t xml:space="preserve">The lifecycle of eteyxefnwn is mapped across the following stages, in accordance with the GHG Protocol:</w:t>
      </w:r>
    </w:p>
    <w:p>
      <w:pPr>
        <w:numPr>
          <w:ilvl w:val="0"/>
          <w:numId w:val="1001"/>
        </w:numPr>
        <w:pStyle w:val="Compact"/>
      </w:pPr>
      <w:r>
        <w:rPr>
          <w:bCs/>
          <w:b/>
        </w:rPr>
        <w:t xml:space="preserve">Raw Material Acquisition &amp; Pre-processing:</w:t>
      </w:r>
      <w:r>
        <w:t xml:space="preserve"> </w:t>
      </w:r>
      <w:r>
        <w:t xml:space="preserve">Extraction, processing, and manufacturing of all components listed in the Bill of Materials (BOM).</w:t>
      </w:r>
    </w:p>
    <w:p>
      <w:pPr>
        <w:numPr>
          <w:ilvl w:val="0"/>
          <w:numId w:val="1001"/>
        </w:numPr>
        <w:pStyle w:val="Compact"/>
      </w:pPr>
      <w:r>
        <w:rPr>
          <w:bCs/>
          <w:b/>
        </w:rPr>
        <w:t xml:space="preserve">Production:</w:t>
      </w:r>
      <w:r>
        <w:t xml:space="preserve"> </w:t>
      </w:r>
      <w:r>
        <w:t xml:space="preserve">Manufacturing and assembly processes at nmgyvpzewq\'s facility in China, including energy consumption.</w:t>
      </w:r>
    </w:p>
    <w:p>
      <w:pPr>
        <w:numPr>
          <w:ilvl w:val="0"/>
          <w:numId w:val="1001"/>
        </w:numPr>
        <w:pStyle w:val="Compact"/>
      </w:pPr>
      <w:r>
        <w:rPr>
          <w:bCs/>
          <w:b/>
        </w:rPr>
        <w:t xml:space="preserve">Transport:</w:t>
      </w:r>
      <w:r>
        <w:t xml:space="preserve"> </w:t>
      </w:r>
      <w:r>
        <w:t xml:space="preserve">Main transportation of the finished product from the factory to the market, and last-mile delivery to the customer.</w:t>
      </w:r>
    </w:p>
    <w:p>
      <w:pPr>
        <w:numPr>
          <w:ilvl w:val="0"/>
          <w:numId w:val="1001"/>
        </w:numPr>
        <w:pStyle w:val="Compact"/>
      </w:pPr>
      <w:r>
        <w:rPr>
          <w:bCs/>
          <w:b/>
        </w:rPr>
        <w:t xml:space="preserve">Use Phase:</w:t>
      </w:r>
      <w:r>
        <w:t xml:space="preserve"> </w:t>
      </w:r>
      <w:r>
        <w:t xml:space="preserve">Energy consumption during the product\'s lifespan by the end-user.</w:t>
      </w:r>
    </w:p>
    <w:p>
      <w:pPr>
        <w:numPr>
          <w:ilvl w:val="0"/>
          <w:numId w:val="1001"/>
        </w:numPr>
        <w:pStyle w:val="Compact"/>
      </w:pPr>
      <w:r>
        <w:rPr>
          <w:bCs/>
          <w:b/>
        </w:rPr>
        <w:t xml:space="preserve">End-of-Life (EoL):</w:t>
      </w:r>
      <w:r>
        <w:t xml:space="preserve"> </w:t>
      </w:r>
      <w:r>
        <w:t xml:space="preserve">Collection, recycling, and disposal of the product at the end of its functional life.</w:t>
      </w:r>
    </w:p>
    <w:bookmarkStart w:id="27" w:name="X600a4f5c62167c343c9f61524ac0ac484718fd8"/>
    <w:p>
      <w:pPr>
        <w:pStyle w:val="Heading3"/>
      </w:pPr>
      <w:r>
        <w:t xml:space="preserve">Detailed Breakdown of Materials (Bill of Materials - BOM)</w:t>
      </w:r>
    </w:p>
    <w:p>
      <w:pPr>
        <w:pStyle w:val="FirstParagraph"/>
      </w:pPr>
      <w:r>
        <w:t xml:space="preserve">The following Bill of Materials (BOM) was used to determine the material impact of the product eteyxefnwn. The \'Total Carbon\' values represent the upstream emissions associated with the production of each material component,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27"/>
    <w:bookmarkStart w:id="28" w:name="X174a68dfe47a272a98c248576925a2d93912d6b"/>
    <w:p>
      <w:pPr>
        <w:pStyle w:val="Heading3"/>
      </w:pPr>
      <w:r>
        <w:t xml:space="preserve">Detailed Breakdown of Energy Inputs (Production Phase)</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40% (40% of electricity is sourced from renewable energy)</w:t>
      </w:r>
    </w:p>
    <w:p>
      <w:pPr>
        <w:numPr>
          <w:ilvl w:val="0"/>
          <w:numId w:val="1002"/>
        </w:numPr>
        <w:pStyle w:val="Compact"/>
      </w:pPr>
      <w:r>
        <w:rPr>
          <w:bCs/>
          <w:b/>
        </w:rPr>
        <w:t xml:space="preserve">Non-renewable Energy Usage:</w:t>
      </w:r>
      <w:r>
        <w:t xml:space="preserve"> </w:t>
      </w:r>
      <w:r>
        <w:t xml:space="preserve">60% (60% of electricity is sourced from the grid mix)</w:t>
      </w:r>
    </w:p>
    <w:p>
      <w:r>
        <w:pict>
          <v:rect style="width:0;height:1.5pt" o:hralign="center" o:hrstd="t" o:hr="t"/>
        </w:pict>
      </w:r>
    </w:p>
    <w:bookmarkEnd w:id="28"/>
    <w:bookmarkEnd w:id="29"/>
    <w:bookmarkStart w:id="31" w:name="Xb57f50a89bf1f3f1837369be949d9d60d6c1272"/>
    <w:p>
      <w:pPr>
        <w:pStyle w:val="Heading2"/>
      </w:pPr>
      <w:r>
        <w:t xml:space="preserve">3. Collect Data (Primary/Secondary Data Points)</w:t>
      </w:r>
    </w:p>
    <w:p>
      <w:pPr>
        <w:pStyle w:val="FirstParagraph"/>
      </w:pPr>
      <w:r>
        <w:t xml:space="preserve">This analysis utilizes both primary and secondary data:</w:t>
      </w:r>
    </w:p>
    <w:p>
      <w:pPr>
        <w:numPr>
          <w:ilvl w:val="0"/>
          <w:numId w:val="1003"/>
        </w:numPr>
        <w:pStyle w:val="Compact"/>
      </w:pPr>
      <w:r>
        <w:rPr>
          <w:bCs/>
          <w:b/>
        </w:rPr>
        <w:t xml:space="preserve">Primary Data:</w:t>
      </w:r>
      <w:r>
        <w:t xml:space="preserve"> </w:t>
      </w:r>
      <w:r>
        <w:t xml:space="preserve">Company-specific Bill of Materials (BOM), energy intensity, renewable energy usage, product lifespan, energy consumption in use, recyclability percentage, and details on circular programs.</w:t>
      </w:r>
    </w:p>
    <w:p>
      <w:pPr>
        <w:numPr>
          <w:ilvl w:val="0"/>
          <w:numId w:val="1003"/>
        </w:numPr>
        <w:pStyle w:val="Compact"/>
      </w:pPr>
      <w:r>
        <w:rPr>
          <w:bCs/>
          <w:b/>
        </w:rPr>
        <w:t xml:space="preserve">Secondary Data:</w:t>
      </w:r>
      <w:r>
        <w:t xml:space="preserve"> </w:t>
      </w:r>
      <w:r>
        <w:t xml:space="preserve">Industry-standard emission factors from reputable databases such as Ecoinvent and DEFRA are used for electricity grids, transportation modes, and end-of-life scenarios.</w:t>
      </w:r>
    </w:p>
    <w:bookmarkStart w:id="30" w:name="specific-data-points-used"/>
    <w:p>
      <w:pPr>
        <w:pStyle w:val="Heading3"/>
      </w:pPr>
      <w:r>
        <w:t xml:space="preserve">Specific Data Points Used:</w:t>
      </w:r>
    </w:p>
    <w:p>
      <w:pPr>
        <w:numPr>
          <w:ilvl w:val="0"/>
          <w:numId w:val="1004"/>
        </w:numPr>
        <w:pStyle w:val="Compact"/>
      </w:pPr>
      <w:r>
        <w:rPr>
          <w:bCs/>
          <w:b/>
        </w:rPr>
        <w:t xml:space="preserve">Product Weight (for transport calculations, estimated):</w:t>
      </w:r>
      <w:r>
        <w:t xml:space="preserve"> </w:t>
      </w:r>
      <w:r>
        <w:t xml:space="preserve">1.2 kg (core product) + 0.1 kg (packaging) = 1.3 kg total.</w:t>
      </w:r>
    </w:p>
    <w:p>
      <w:pPr>
        <w:numPr>
          <w:ilvl w:val="0"/>
          <w:numId w:val="1004"/>
        </w:numPr>
        <w:pStyle w:val="Compact"/>
      </w:pPr>
      <w:r>
        <w:rPr>
          <w:bCs/>
          <w:b/>
        </w:rPr>
        <w:t xml:space="preserve">Main Transport Mode (`Select Mode`):</w:t>
      </w:r>
      <w:r>
        <w:t xml:space="preserve"> </w:t>
      </w:r>
      <w:r>
        <w:t xml:space="preserve">Heavy Duty Truck (&gt;16t, 50% laden).</w:t>
      </w:r>
    </w:p>
    <w:p>
      <w:pPr>
        <w:numPr>
          <w:ilvl w:val="0"/>
          <w:numId w:val="1004"/>
        </w:numPr>
        <w:pStyle w:val="Compact"/>
      </w:pPr>
      <w:r>
        <w:rPr>
          <w:bCs/>
          <w:b/>
        </w:rPr>
        <w:t xml:space="preserve">Main Transport Distance (`loplroxgel`):</w:t>
      </w:r>
      <w:r>
        <w:t xml:space="preserve"> </w:t>
      </w:r>
      <w:r>
        <w:t xml:space="preserve">2,500 km.</w:t>
      </w:r>
    </w:p>
    <w:p>
      <w:pPr>
        <w:numPr>
          <w:ilvl w:val="0"/>
          <w:numId w:val="1004"/>
        </w:numPr>
        <w:pStyle w:val="Compact"/>
      </w:pPr>
      <w:r>
        <w:rPr>
          <w:bCs/>
          <w:b/>
        </w:rPr>
        <w:t xml:space="preserve">Last-Mile Delivery Channel (`Delivery Type`):</w:t>
      </w:r>
      <w:r>
        <w:t xml:space="preserve"> </w:t>
      </w:r>
      <w:r>
        <w:t xml:space="preserve">Small Parcel Van.</w:t>
      </w:r>
    </w:p>
    <w:p>
      <w:pPr>
        <w:numPr>
          <w:ilvl w:val="0"/>
          <w:numId w:val="1004"/>
        </w:numPr>
        <w:pStyle w:val="Compact"/>
      </w:pPr>
      <w:r>
        <w:rPr>
          <w:bCs/>
          <w:b/>
        </w:rPr>
        <w:t xml:space="preserve">Last-Mile Delivery Distance (Assumed):</w:t>
      </w:r>
      <w:r>
        <w:t xml:space="preserve"> </w:t>
      </w:r>
      <w:r>
        <w:t xml:space="preserve">50 km.</w:t>
      </w:r>
    </w:p>
    <w:p>
      <w:pPr>
        <w:numPr>
          <w:ilvl w:val="0"/>
          <w:numId w:val="1004"/>
        </w:numPr>
        <w:pStyle w:val="Compact"/>
      </w:pPr>
      <w:r>
        <w:rPr>
          <w:bCs/>
          <w:b/>
        </w:rPr>
        <w:t xml:space="preserve">Electricity Grid Emission Factor (China national average 2023):</w:t>
      </w:r>
      <w:r>
        <w:t xml:space="preserve"> </w:t>
      </w:r>
      <w:r>
        <w:t xml:space="preserve">0.6205 kgCO2e/kWh.</w:t>
      </w:r>
    </w:p>
    <w:p>
      <w:pPr>
        <w:numPr>
          <w:ilvl w:val="0"/>
          <w:numId w:val="1004"/>
        </w:numPr>
        <w:pStyle w:val="Compact"/>
      </w:pPr>
      <w:r>
        <w:rPr>
          <w:bCs/>
          <w:b/>
        </w:rPr>
        <w:t xml:space="preserve">Renewable Electricity Emission Factor:</w:t>
      </w:r>
      <w:r>
        <w:t xml:space="preserve"> </w:t>
      </w:r>
      <w:r>
        <w:t xml:space="preserve">0.01 kgCO2e/kWh (residual emissions).</w:t>
      </w:r>
    </w:p>
    <w:p>
      <w:pPr>
        <w:numPr>
          <w:ilvl w:val="0"/>
          <w:numId w:val="1004"/>
        </w:numPr>
        <w:pStyle w:val="Compact"/>
      </w:pPr>
      <w:r>
        <w:rPr>
          <w:bCs/>
          <w:b/>
        </w:rPr>
        <w:t xml:space="preserve">Road Transport Emission Factor (Heavy Duty Truck):</w:t>
      </w:r>
      <w:r>
        <w:t xml:space="preserve"> </w:t>
      </w:r>
      <w:r>
        <w:t xml:space="preserve">0.08 kgCO2e/tkm (from DEFRA equivalents).</w:t>
      </w:r>
    </w:p>
    <w:p>
      <w:pPr>
        <w:numPr>
          <w:ilvl w:val="0"/>
          <w:numId w:val="1004"/>
        </w:numPr>
        <w:pStyle w:val="Compact"/>
      </w:pPr>
      <w:r>
        <w:rPr>
          <w:bCs/>
          <w:b/>
        </w:rPr>
        <w:t xml:space="preserve">Road Transport Emission Factor (Small Parcel Van):</w:t>
      </w:r>
      <w:r>
        <w:t xml:space="preserve"> </w:t>
      </w:r>
      <w:r>
        <w:t xml:space="preserve">0.5 kgCO2e/tkm (derived from DEFRA per-km factor assuming 0.5-tonne average load).</w:t>
      </w:r>
    </w:p>
    <w:p>
      <w:pPr>
        <w:numPr>
          <w:ilvl w:val="0"/>
          <w:numId w:val="1004"/>
        </w:numPr>
        <w:pStyle w:val="Compact"/>
      </w:pPr>
      <w:r>
        <w:rPr>
          <w:bCs/>
          <w:b/>
        </w:rPr>
        <w:t xml:space="preserve">End-of-Life Emission Factor (Landfill/Incineration):</w:t>
      </w:r>
      <w:r>
        <w:t xml:space="preserve"> </w:t>
      </w:r>
      <w:r>
        <w:t xml:space="preserve">2.5 kgCO2e/kg (generic average).</w:t>
      </w:r>
    </w:p>
    <w:p>
      <w:pPr>
        <w:numPr>
          <w:ilvl w:val="0"/>
          <w:numId w:val="1004"/>
        </w:numPr>
        <w:pStyle w:val="Compact"/>
      </w:pPr>
      <w:r>
        <w:rPr>
          <w:bCs/>
          <w:b/>
        </w:rPr>
        <w:t xml:space="preserve">Recycling Benefit Factor:</w:t>
      </w:r>
      <w:r>
        <w:t xml:space="preserve"> </w:t>
      </w:r>
      <w:r>
        <w:t xml:space="preserve">-1.5 kgCO2e/kg (credit for avoided virgin material production).</w:t>
      </w:r>
    </w:p>
    <w:p>
      <w:pPr>
        <w:numPr>
          <w:ilvl w:val="0"/>
          <w:numId w:val="1004"/>
        </w:numPr>
        <w:pStyle w:val="Compact"/>
      </w:pPr>
      <w:r>
        <w:rPr>
          <w:bCs/>
          <w:b/>
        </w:rPr>
        <w:t xml:space="preserve">Product Lifespan (`jumxmupukh`):</w:t>
      </w:r>
      <w:r>
        <w:t xml:space="preserve"> </w:t>
      </w:r>
      <w:r>
        <w:t xml:space="preserve">3 years.</w:t>
      </w:r>
    </w:p>
    <w:p>
      <w:pPr>
        <w:numPr>
          <w:ilvl w:val="0"/>
          <w:numId w:val="1004"/>
        </w:numPr>
        <w:pStyle w:val="Compact"/>
      </w:pPr>
      <w:r>
        <w:rPr>
          <w:bCs/>
          <w:b/>
        </w:rPr>
        <w:t xml:space="preserve">Energy Consumption in Use (`ojgxiovzvk`):</w:t>
      </w:r>
      <w:r>
        <w:t xml:space="preserve"> </w:t>
      </w:r>
      <w:r>
        <w:t xml:space="preserve">30 kWh/year.</w:t>
      </w:r>
    </w:p>
    <w:p>
      <w:pPr>
        <w:numPr>
          <w:ilvl w:val="0"/>
          <w:numId w:val="1004"/>
        </w:numPr>
        <w:pStyle w:val="Compact"/>
      </w:pPr>
      <w:r>
        <w:rPr>
          <w:bCs/>
          <w:b/>
        </w:rPr>
        <w:t xml:space="preserve">Recyclability Percentage (`llpjrtrtek`):</w:t>
      </w:r>
      <w:r>
        <w:t xml:space="preserve"> </w:t>
      </w:r>
      <w:r>
        <w:t xml:space="preserve">60%.</w:t>
      </w:r>
    </w:p>
    <w:p>
      <w:pPr>
        <w:numPr>
          <w:ilvl w:val="0"/>
          <w:numId w:val="1004"/>
        </w:numPr>
        <w:pStyle w:val="Compact"/>
      </w:pPr>
      <w:r>
        <w:rPr>
          <w:bCs/>
          <w:b/>
        </w:rPr>
        <w:t xml:space="preserve">Circular/Take-back Programs (`lovuwwhzgw`):</w:t>
      </w:r>
      <w:r>
        <w:t xml:space="preserve"> </w:t>
      </w:r>
      <w:r>
        <w:t xml:space="preserve">Company-operated take-back program for key components.</w:t>
      </w:r>
    </w:p>
    <w:p>
      <w:r>
        <w:pict>
          <v:rect style="width:0;height:1.5pt" o:hralign="center" o:hrstd="t" o:hr="t"/>
        </w:pict>
      </w:r>
    </w:p>
    <w:bookmarkEnd w:id="30"/>
    <w:bookmarkEnd w:id="31"/>
    <w:bookmarkStart w:id="3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Protocol\'s Scope 1, Scope 2, and Scope 3 definitions.</w:t>
      </w:r>
    </w:p>
    <w:bookmarkStart w:id="32" w:name="Xb37534528b74e9e924ce194116d623000024042"/>
    <w:p>
      <w:pPr>
        <w:pStyle w:val="Heading3"/>
      </w:pPr>
      <w:r>
        <w:t xml:space="preserve">Total Product Carbon Footprint (PCF): 71.08 kgCO2e</w:t>
      </w:r>
    </w:p>
    <w:bookmarkEnd w:id="32"/>
    <w:bookmarkStart w:id="33" w:name="emission-breakdown-by-lifecycle-stage"/>
    <w:p>
      <w:pPr>
        <w:pStyle w:val="Heading3"/>
      </w:pPr>
      <w:r>
        <w:t xml:space="preserve">Emission Breakdown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Materials (Upstream)</w:t>
            </w:r>
          </w:p>
        </w:tc>
        <w:tc>
          <w:tcPr/>
          <w:p>
            <w:pPr>
              <w:pStyle w:val="Compact"/>
              <w:jc w:val="left"/>
            </w:pPr>
            <w:r>
              <w:t xml:space="preserve">Scope 3 (Category 1)</w:t>
            </w:r>
          </w:p>
        </w:tc>
        <w:tc>
          <w:tcPr/>
          <w:p>
            <w:pPr>
              <w:pStyle w:val="Compact"/>
              <w:jc w:val="left"/>
            </w:pPr>
            <w:r>
              <w:t xml:space="preserve">9.20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5.64</w:t>
            </w:r>
          </w:p>
        </w:tc>
      </w:tr>
      <w:tr>
        <w:tc>
          <w:tcPr/>
          <w:p>
            <w:pPr>
              <w:pStyle w:val="Compact"/>
              <w:jc w:val="left"/>
            </w:pPr>
            <w:r>
              <w:t xml:space="preserve">Transport (Upstream)</w:t>
            </w:r>
          </w:p>
        </w:tc>
        <w:tc>
          <w:tcPr/>
          <w:p>
            <w:pPr>
              <w:pStyle w:val="Compact"/>
              <w:jc w:val="left"/>
            </w:pPr>
            <w:r>
              <w:t xml:space="preserve">Scope 3 (Category 4)</w:t>
            </w:r>
          </w:p>
        </w:tc>
        <w:tc>
          <w:tcPr/>
          <w:p>
            <w:pPr>
              <w:pStyle w:val="Compact"/>
              <w:jc w:val="left"/>
            </w:pPr>
            <w:r>
              <w:t xml:space="preserve">0.24</w:t>
            </w:r>
          </w:p>
        </w:tc>
      </w:tr>
      <w:tr>
        <w:tc>
          <w:tcPr/>
          <w:p>
            <w:pPr>
              <w:pStyle w:val="Compact"/>
              <w:jc w:val="left"/>
            </w:pPr>
            <w:r>
              <w:t xml:space="preserve">Transport (Downstream, Last-Mile)</w:t>
            </w:r>
          </w:p>
        </w:tc>
        <w:tc>
          <w:tcPr/>
          <w:p>
            <w:pPr>
              <w:pStyle w:val="Compact"/>
              <w:jc w:val="left"/>
            </w:pPr>
            <w:r>
              <w:t xml:space="preserve">Scope 3 (Category 9)</w:t>
            </w:r>
          </w:p>
        </w:tc>
        <w:tc>
          <w:tcPr/>
          <w:p>
            <w:pPr>
              <w:pStyle w:val="Compact"/>
              <w:jc w:val="left"/>
            </w:pPr>
            <w:r>
              <w:t xml:space="preserve">0.03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55.85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71.08</w:t>
            </w:r>
          </w:p>
        </w:tc>
      </w:tr>
    </w:tbl>
    <w:bookmarkEnd w:id="33"/>
    <w:bookmarkStart w:id="34" w:name="detailed-scope-wise-emissions"/>
    <w:p>
      <w:pPr>
        <w:pStyle w:val="Heading3"/>
      </w:pPr>
      <w:r>
        <w:t xml:space="preserve">Detailed Scope-wise Emissions:</w:t>
      </w:r>
    </w:p>
    <w:p>
      <w:pPr>
        <w:numPr>
          <w:ilvl w:val="0"/>
          <w:numId w:val="1005"/>
        </w:numPr>
        <w:pStyle w:val="Compact"/>
      </w:pPr>
      <w:r>
        <w:rPr>
          <w:bCs/>
          <w:b/>
        </w:rPr>
        <w:t xml:space="preserve">Scope 1 (Direct Emissions):</w:t>
      </w:r>
      <w:r>
        <w:t xml:space="preserve"> </w:t>
      </w:r>
      <w:r>
        <w:t xml:space="preserve">0.00 kgCO2e (Assuming no direct fuel combustion at nmgyvpzewq\'s facility for this product based on provided energy data)</w:t>
      </w:r>
    </w:p>
    <w:p>
      <w:pPr>
        <w:numPr>
          <w:ilvl w:val="0"/>
          <w:numId w:val="1005"/>
        </w:numPr>
        <w:pStyle w:val="Compact"/>
      </w:pPr>
      <w:r>
        <w:rPr>
          <w:bCs/>
          <w:b/>
        </w:rPr>
        <w:t xml:space="preserve">Scope 2 (Purchased Energy):</w:t>
      </w:r>
      <w:r>
        <w:t xml:space="preserve"> </w:t>
      </w:r>
      <w:r>
        <w:t xml:space="preserve">5.64 kgCO2e</w:t>
      </w:r>
    </w:p>
    <w:p>
      <w:pPr>
        <w:numPr>
          <w:ilvl w:val="1"/>
          <w:numId w:val="1006"/>
        </w:numPr>
        <w:pStyle w:val="Compact"/>
      </w:pPr>
      <w:r>
        <w:t xml:space="preserve">Production Energy: 15 kWh * (1 - 0.40) * 0.6205 kgCO2e/kWh (China grid) + 15 kWh * 0.40 * 0.01 kgCO2e/kWh (renewable) = 5.5845 + 0.06 = 5.64 kgCO2e.</w:t>
      </w:r>
    </w:p>
    <w:p>
      <w:pPr>
        <w:numPr>
          <w:ilvl w:val="0"/>
          <w:numId w:val="1005"/>
        </w:numPr>
        <w:pStyle w:val="Compact"/>
      </w:pPr>
      <w:r>
        <w:rPr>
          <w:bCs/>
          <w:b/>
        </w:rPr>
        <w:t xml:space="preserve">Scope 3 (Value Chain Emissions):</w:t>
      </w:r>
      <w:r>
        <w:t xml:space="preserve"> </w:t>
      </w:r>
      <w:r>
        <w:t xml:space="preserve">65.44 kgCO2e</w:t>
      </w:r>
    </w:p>
    <w:p>
      <w:pPr>
        <w:numPr>
          <w:ilvl w:val="1"/>
          <w:numId w:val="1007"/>
        </w:numPr>
        <w:pStyle w:val="Compact"/>
      </w:pPr>
      <w:r>
        <w:rPr>
          <w:bCs/>
          <w:b/>
        </w:rPr>
        <w:t xml:space="preserve">Category 1: Purchased goods and services (Materials):</w:t>
      </w:r>
      <w:r>
        <w:t xml:space="preserve"> </w:t>
      </w:r>
      <w:r>
        <w:t xml:space="preserve">9.20 kgCO2e (Sum of "Total Carbon" from BOM)</w:t>
      </w:r>
    </w:p>
    <w:p>
      <w:pPr>
        <w:numPr>
          <w:ilvl w:val="1"/>
          <w:numId w:val="1007"/>
        </w:numPr>
        <w:pStyle w:val="Compact"/>
      </w:pPr>
      <w:r>
        <w:rPr>
          <w:bCs/>
          <w:b/>
        </w:rPr>
        <w:t xml:space="preserve">Category 4: Upstream transportation and distribution:</w:t>
      </w:r>
      <w:r>
        <w:t xml:space="preserve"> </w:t>
      </w:r>
      <w:r>
        <w:t xml:space="preserve">0.24 kgCO2e</w:t>
      </w:r>
    </w:p>
    <w:p>
      <w:pPr>
        <w:numPr>
          <w:ilvl w:val="2"/>
          <w:numId w:val="1008"/>
        </w:numPr>
        <w:pStyle w:val="Compact"/>
      </w:pPr>
      <w:r>
        <w:t xml:space="preserve">Main Transport: 1.3 kg product (0.0013 tonnes) * 2500 km * 0.08 kgCO2e/tkm = 0.26 kgCO2e. (Using 1.3kg total product weight for transport, including packaging).</w:t>
      </w:r>
    </w:p>
    <w:p>
      <w:pPr>
        <w:numPr>
          <w:ilvl w:val="1"/>
          <w:numId w:val="1007"/>
        </w:numPr>
        <w:pStyle w:val="Compact"/>
      </w:pPr>
      <w:r>
        <w:rPr>
          <w:bCs/>
          <w:b/>
        </w:rPr>
        <w:t xml:space="preserve">Category 9: Downstream transportation and distribution (Last-Mile):</w:t>
      </w:r>
      <w:r>
        <w:t xml:space="preserve"> </w:t>
      </w:r>
      <w:r>
        <w:t xml:space="preserve">0.03 kgCO2e</w:t>
      </w:r>
    </w:p>
    <w:p>
      <w:pPr>
        <w:numPr>
          <w:ilvl w:val="2"/>
          <w:numId w:val="1009"/>
        </w:numPr>
        <w:pStyle w:val="Compact"/>
      </w:pPr>
      <w:r>
        <w:t xml:space="preserve">Last-Mile Delivery: 1.2 kg product (0.0012 tonnes) * 50 km * 0.5 kgCO2e/tkm = 0.03 kgCO2e.</w:t>
      </w:r>
    </w:p>
    <w:p>
      <w:pPr>
        <w:numPr>
          <w:ilvl w:val="1"/>
          <w:numId w:val="1007"/>
        </w:numPr>
        <w:pStyle w:val="Compact"/>
      </w:pPr>
      <w:r>
        <w:rPr>
          <w:bCs/>
          <w:b/>
        </w:rPr>
        <w:t xml:space="preserve">Category 11: Use of sold products:</w:t>
      </w:r>
      <w:r>
        <w:t xml:space="preserve"> </w:t>
      </w:r>
      <w:r>
        <w:t xml:space="preserve">55.85 kgCO2e</w:t>
      </w:r>
    </w:p>
    <w:p>
      <w:pPr>
        <w:numPr>
          <w:ilvl w:val="2"/>
          <w:numId w:val="1010"/>
        </w:numPr>
        <w:pStyle w:val="Compact"/>
      </w:pPr>
      <w:r>
        <w:t xml:space="preserve">Total Energy in Use: 30 kWh/year * 3 years = 90 kWh.</w:t>
      </w:r>
    </w:p>
    <w:p>
      <w:pPr>
        <w:numPr>
          <w:ilvl w:val="2"/>
          <w:numId w:val="1010"/>
        </w:numPr>
        <w:pStyle w:val="Compact"/>
      </w:pPr>
      <w:r>
        <w:t xml:space="preserve">Emissions: 90 kWh * 0.6205 kgCO2e/kWh = 55.85 kgCO2e.</w:t>
      </w:r>
    </w:p>
    <w:p>
      <w:pPr>
        <w:numPr>
          <w:ilvl w:val="1"/>
          <w:numId w:val="1007"/>
        </w:numPr>
        <w:pStyle w:val="Compact"/>
      </w:pPr>
      <w:r>
        <w:rPr>
          <w:bCs/>
          <w:b/>
        </w:rPr>
        <w:t xml:space="preserve">Category 12: End-of-life treatment of sold products:</w:t>
      </w:r>
      <w:r>
        <w:t xml:space="preserve"> </w:t>
      </w:r>
      <w:r>
        <w:t xml:space="preserve">0.12 kgCO2e</w:t>
      </w:r>
    </w:p>
    <w:p>
      <w:pPr>
        <w:numPr>
          <w:ilvl w:val="2"/>
          <w:numId w:val="1011"/>
        </w:numPr>
        <w:pStyle w:val="Compact"/>
      </w:pPr>
      <w:r>
        <w:t xml:space="preserve">Unrecyclable (40%): 1.2 kg * 0.40 = 0.48 kg. Emissions: 0.48 kg * 2.5 kgCO2e/kg = 1.20 kgCO2e.</w:t>
      </w:r>
    </w:p>
    <w:p>
      <w:pPr>
        <w:numPr>
          <w:ilvl w:val="2"/>
          <w:numId w:val="1011"/>
        </w:numPr>
        <w:pStyle w:val="Compact"/>
      </w:pPr>
      <w:r>
        <w:t xml:space="preserve">Recyclable (60%): 1.2 kg * 0.60 = 0.72 kg. Benefit: 0.72 kg * -1.5 kgCO2e/kg = -1.08 kgCO2e.</w:t>
      </w:r>
    </w:p>
    <w:p>
      <w:pPr>
        <w:numPr>
          <w:ilvl w:val="2"/>
          <w:numId w:val="1011"/>
        </w:numPr>
        <w:pStyle w:val="Compact"/>
      </w:pPr>
      <w:r>
        <w:t xml:space="preserve">Net EoL Emissions: 1.20 - 1.08 = 0.12 kgCO2e.</w:t>
      </w:r>
    </w:p>
    <w:bookmarkEnd w:id="34"/>
    <w:bookmarkStart w:id="35" w:name="X4ebf5fe04fe1ea2b1762ccdb5a289a45710b63f"/>
    <w:p>
      <w:pPr>
        <w:pStyle w:val="Heading3"/>
      </w:pPr>
      <w:r>
        <w:t xml:space="preserve">Compliance with 2026 GHG Protocol Updates:</w:t>
      </w:r>
    </w:p>
    <w:p>
      <w:pPr>
        <w:numPr>
          <w:ilvl w:val="0"/>
          <w:numId w:val="1012"/>
        </w:numPr>
        <w:pStyle w:val="Compact"/>
      </w:pPr>
      <w:r>
        <w:rPr>
          <w:bCs/>
          <w:b/>
        </w:rPr>
        <w:t xml:space="preserve">GHG Protocol Scope 3 Coverage (95% rule):</w:t>
      </w:r>
      <w:r>
        <w:t xml:space="preserve"> </w:t>
      </w:r>
      <w:r>
        <w:t xml:space="preserve">The analysis for eteyxefnwn explicitly covers all material Scope 3 categories: purchased goods and services, transportation (upstream and downstream), use of sold products, and end-of-life treatment. This comprehensive approach ensures that the report meets or exceeds the proposed 95% coverage threshold for required Scope 3 emissions as outlined in the GHG Protocol\'s March 2026 Phase 1 Progress Update.</w:t>
      </w:r>
    </w:p>
    <w:p>
      <w:pPr>
        <w:numPr>
          <w:ilvl w:val="0"/>
          <w:numId w:val="1012"/>
        </w:numPr>
        <w:pStyle w:val="Compact"/>
      </w:pPr>
      <w:r>
        <w:rPr>
          <w:bCs/>
          <w:b/>
        </w:rPr>
        <w:t xml:space="preserve">Land Sector and Removals (LSR) Standard:</w:t>
      </w:r>
      <w:r>
        <w:t xml:space="preserve"> </w:t>
      </w:r>
      <w:r>
        <w:t xml:space="preserve">The GHG Protocol\'s LSR Standard was released on January 30, 2026, and is effective from January 1, 2027. This standard provides requirements for land-related GHG emissions and CO2 removals. Given the nature of product eteyxefnwn, which does not involve direct land-use change, agriculture, or forestry, the direct impact of the LSR Standard on this specific PCF calculation is limited. However, for companies with significant land-based activities in their supply chain, adherence to the LSR Standard and its accompanying guidance (expected in Q2 2026) would be crucial for comprehensive reporting.</w:t>
      </w:r>
    </w:p>
    <w:p>
      <w:r>
        <w:pict>
          <v:rect style="width:0;height:1.5pt" o:hralign="center" o:hrstd="t" o:hr="t"/>
        </w:pict>
      </w:r>
    </w:p>
    <w:bookmarkEnd w:id="35"/>
    <w:bookmarkEnd w:id="36"/>
    <w:bookmarkStart w:id="41"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The primary emissions hotspot for eteyxefnwn is clearly identified in the</w:t>
      </w:r>
      <w:r>
        <w:t xml:space="preserve"> </w:t>
      </w:r>
      <w:r>
        <w:rPr>
          <w:bCs/>
          <w:b/>
        </w:rPr>
        <w:t xml:space="preserve">Use Phase</w:t>
      </w:r>
      <w:r>
        <w:t xml:space="preserve">, contributing 55.85 kgCO2e (approximately 78.6% of the total PCF). This is largely due to the energy consumption of the product over its 3-year lifespan and the electricity grid mix of the usage region. The second largest contributor is the</w:t>
      </w:r>
      <w:r>
        <w:t xml:space="preserve"> </w:t>
      </w:r>
      <w:r>
        <w:rPr>
          <w:bCs/>
          <w:b/>
        </w:rPr>
        <w:t xml:space="preserve">Raw Materials</w:t>
      </w:r>
      <w:r>
        <w:t xml:space="preserve"> </w:t>
      </w:r>
      <w:r>
        <w:t xml:space="preserve">stage at 9.20 kgCO2e, followed by</w:t>
      </w:r>
      <w:r>
        <w:t xml:space="preserve"> </w:t>
      </w:r>
      <w:r>
        <w:rPr>
          <w:bCs/>
          <w:b/>
        </w:rPr>
        <w:t xml:space="preserve">Production Energy</w:t>
      </w:r>
      <w:r>
        <w:t xml:space="preserve"> </w:t>
      </w:r>
      <w:r>
        <w:t xml:space="preserve">at 5.64 kgCO2e.</w:t>
      </w:r>
    </w:p>
    <w:bookmarkEnd w:id="37"/>
    <w:bookmarkStart w:id="40" w:name="reliability-and-recommendations"/>
    <w:p>
      <w:pPr>
        <w:pStyle w:val="Heading3"/>
      </w:pPr>
      <w:r>
        <w:t xml:space="preserve">Reliability and Recommendations</w:t>
      </w:r>
    </w:p>
    <w:p>
      <w:pPr>
        <w:pStyle w:val="FirstParagraph"/>
      </w:pPr>
      <w:r>
        <w:t xml:space="preserve">The reliability of this PCF analysis is considered high for the stages where primary data (BOM, energy intensity, renewable usage) was provided. For other stages, industry-standard emission factors from recognized databases (Ecoinvent/DEFRA equivalents) have been used, providing a robust estimate. However, the assumptions made for \'Select Mode\' and \'Delivery Type\' for transport, and generic EoL factors, introduce some uncertainty.</w:t>
      </w:r>
    </w:p>
    <w:bookmarkStart w:id="39" w:name="recommendations"/>
    <w:p>
      <w:pPr>
        <w:pStyle w:val="Heading4"/>
      </w:pPr>
      <w:r>
        <w:t xml:space="preserve">Recommendations:</w:t>
      </w:r>
    </w:p>
    <w:p>
      <w:pPr>
        <w:numPr>
          <w:ilvl w:val="0"/>
          <w:numId w:val="1013"/>
        </w:numPr>
        <w:pStyle w:val="Compact"/>
      </w:pPr>
      <w:r>
        <w:rPr>
          <w:bCs/>
          <w:b/>
        </w:rPr>
        <w:t xml:space="preserve">Use Phase Optimization:</w:t>
      </w:r>
      <w:r>
        <w:t xml:space="preserve"> </w:t>
      </w:r>
      <w:r>
        <w:t xml:space="preserve">Prioritize efforts to reduce energy consumption during the product\'s use phase. This could involve design improvements for energy efficiency, promoting the use of renewable energy by end-users (e.g., through product compatibility with smart grids or renewable energy systems), or exploring lower-carbon electricity sources in key markets.</w:t>
      </w:r>
    </w:p>
    <w:p>
      <w:pPr>
        <w:numPr>
          <w:ilvl w:val="0"/>
          <w:numId w:val="1013"/>
        </w:numPr>
        <w:pStyle w:val="Compact"/>
      </w:pPr>
      <w:r>
        <w:rPr>
          <w:bCs/>
          <w:b/>
        </w:rPr>
        <w:t xml:space="preserve">Material Decarbonization:</w:t>
      </w:r>
      <w:r>
        <w:t xml:space="preserve"> </w:t>
      </w:r>
      <w:r>
        <w:t xml:space="preserve">Investigate opportunities for sourcing lower-carbon alternatives for significant material contributors (e.g., aluminum, lithium-ion batteries). Engage with suppliers to obtain more specific, primary emission data for these components.</w:t>
      </w:r>
    </w:p>
    <w:p>
      <w:pPr>
        <w:numPr>
          <w:ilvl w:val="0"/>
          <w:numId w:val="1013"/>
        </w:numPr>
        <w:pStyle w:val="Compact"/>
      </w:pPr>
      <w:r>
        <w:rPr>
          <w:bCs/>
          <w:b/>
        </w:rPr>
        <w:t xml:space="preserve">Circular Economy Integration:</w:t>
      </w:r>
      <w:r>
        <w:t xml:space="preserve"> </w:t>
      </w:r>
      <w:r>
        <w:t xml:space="preserve">Strengthen existing "Company-operated take-back program for key components" (`lovuwwhzgw`) to maximize the recycling rate beyond 60% and explore opportunities for material reuse or remanufacturing to further reduce end-of-life impacts and generate greater circularity benefits.</w:t>
      </w:r>
    </w:p>
    <w:p>
      <w:pPr>
        <w:numPr>
          <w:ilvl w:val="0"/>
          <w:numId w:val="1013"/>
        </w:numPr>
        <w:pStyle w:val="Compact"/>
      </w:pPr>
      <w:r>
        <w:rPr>
          <w:bCs/>
          <w:b/>
        </w:rPr>
        <w:t xml:space="preserve">Supply Chain Engagement:</w:t>
      </w:r>
      <w:r>
        <w:t xml:space="preserve"> </w:t>
      </w:r>
      <w:r>
        <w:t xml:space="preserve">Work with transport providers to optimize logistics for reduced emissions (e.g., switching to lower-emission fuels, more efficient routes, higher load factors).</w:t>
      </w:r>
    </w:p>
    <w:p>
      <w:pPr>
        <w:numPr>
          <w:ilvl w:val="0"/>
          <w:numId w:val="1013"/>
        </w:numPr>
        <w:pStyle w:val="Compact"/>
      </w:pPr>
      <w:r>
        <w:rPr>
          <w:bCs/>
          <w:b/>
        </w:rPr>
        <w:t xml:space="preserve">Data Refinement:</w:t>
      </w:r>
      <w:r>
        <w:t xml:space="preserve"> </w:t>
      </w:r>
      <w:r>
        <w:t xml:space="preserve">Continuously seek primary data for all lifecycle stages to enhance the accuracy and robustness of future PCF assessments.</w:t>
      </w:r>
    </w:p>
    <w:p>
      <w:r>
        <w:pict>
          <v:rect style="width:0;height:1.5pt" o:hralign="center" o:hrstd="t" o:hr="t"/>
        </w:pict>
      </w:r>
    </w:p>
    <w:p>
      <w:pPr>
        <w:pStyle w:val="FirstParagraph"/>
      </w:pPr>
      <w:r>
        <w:t xml:space="preserve">Confidential - Internal Use Only | Page</w:t>
      </w:r>
      <w:r>
        <w:t xml:space="preserve"> </w:t>
      </w:r>
      <w:bookmarkStart w:id="38" w:name="page-num"/>
      <w:bookmarkEnd w:id="38"/>
    </w:p>
    <w:bookmarkEnd w:id="39"/>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eteyxefnwn</dc:title>
  <dc:creator/>
  <dc:description>High-detail Product Carbon Footprint (PCF) analysis report for eteyxefnwn by nmgyvpzewq, adhering to GHG Protocol standards and 2026 updates.</dc:description>
  <dc:language>en</dc:language>
  <cp:keywords/>
  <dcterms:created xsi:type="dcterms:W3CDTF">2026-07-15T15:32:04Z</dcterms:created>
  <dcterms:modified xsi:type="dcterms:W3CDTF">2026-07-15T15:32:04Z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