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esrxmgnstg</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esrxmgnstg</w:t>
      </w:r>
    </w:p>
    <w:p>
      <w:pPr>
        <w:pStyle w:val="BodyText"/>
      </w:pPr>
      <w:r>
        <w:rPr>
          <w:bCs/>
          <w:b/>
        </w:rPr>
        <w:t xml:space="preserve">Name of the Company:</w:t>
      </w:r>
      <w:r>
        <w:t xml:space="preserve"> </w:t>
      </w:r>
      <w:r>
        <w:t xml:space="preserve">qwjwtjxoeh</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knhoutzdse</w:t>
      </w:r>
    </w:p>
    <w:p>
      <w:pPr>
        <w:pStyle w:val="BodyText"/>
      </w:pPr>
      <w:r>
        <w:t xml:space="preserve">Disclaimer: This report is generated based on available data and industry standards.</w:t>
      </w:r>
      <w:r>
        <w:t xml:space="preserve"> </w:t>
      </w:r>
      <w:r>
        <w:t xml:space="preserve">The calculations rely on the provided parameters and estimated emission factors from reputable databases.</w:t>
      </w:r>
    </w:p>
    <w:bookmarkEnd w:id="20"/>
    <w:bookmarkStart w:id="21" w:name="X598eb3bc5e560f7d5feba402341547635738413"/>
    <w:p>
      <w:pPr>
        <w:pStyle w:val="Heading1"/>
      </w:pPr>
      <w:r>
        <w:t xml:space="preserve">Product Carbon Footprint Report: esrxmgnstg</w:t>
      </w:r>
    </w:p>
    <w:p>
      <w:pPr>
        <w:pStyle w:val="FirstParagraph"/>
      </w:pPr>
      <w:r>
        <w:t xml:space="preserve">Generated Date: May 25, 2026</w:t>
      </w:r>
    </w:p>
    <w:p>
      <w:r>
        <w:pict>
          <v:rect style="width:0;height:1.5pt" o:hralign="center" o:hrstd="t" o:hr="t"/>
        </w:pict>
      </w:r>
    </w:p>
    <w:bookmarkEnd w:id="21"/>
    <w:bookmarkStart w:id="22" w:name="executive-summary"/>
    <w:p>
      <w:pPr>
        <w:pStyle w:val="Heading2"/>
      </w:pPr>
      <w:r>
        <w:t xml:space="preserve">1. Executive Summary</w:t>
      </w:r>
    </w:p>
    <w:p>
      <w:pPr>
        <w:pStyle w:val="FirstParagraph"/>
      </w:pPr>
      <w:r>
        <w:t xml:space="preserve">This report presents a high-detail Product Carbon Footprint (PCF) analysis for \'esrxmgnstg\', manufactured by \'qwjwtjxoeh\'.</w:t>
      </w:r>
      <w:r>
        <w:t xml:space="preserve"> </w:t>
      </w:r>
      <w:r>
        <w:t xml:space="preserve">As \'knhoutzdse\', a Senior Sustainability Consultant specializing in GHG Protocol, this analysis adheres to the Greenhouse Gas (GHG) Protocol</w:t>
      </w:r>
      <w:r>
        <w:t xml:space="preserve"> </w:t>
      </w:r>
      <w:r>
        <w:t xml:space="preserve">standards, including the recent 2026 Land Sector and Removals (LSR) update, and aims for at least 95% coverage for Scope 3 emissions.</w:t>
      </w:r>
      <w:r>
        <w:t xml:space="preserve"> </w:t>
      </w:r>
      <w:r>
        <w:t xml:space="preserve">The assessment follows a cradle-to-grave approach, encompassing all stages from raw material extraction to end-of-life treatment,</w:t>
      </w:r>
      <w:r>
        <w:t xml:space="preserve"> </w:t>
      </w:r>
      <w:r>
        <w:t xml:space="preserve">to provide a comprehensive understanding of the product\'s environmental impact. Key emission hotspots identified include material production,</w:t>
      </w:r>
      <w:r>
        <w:t xml:space="preserve"> </w:t>
      </w:r>
      <w:r>
        <w:t xml:space="preserve">the use phase, and transportation. Recommendations for reduction are provided to support qwjwtjxoeh\'s sustainability objectives.</w:t>
      </w:r>
    </w:p>
    <w:p>
      <w:r>
        <w:pict>
          <v:rect style="width:0;height:1.5pt" o:hralign="center" o:hrstd="t" o:hr="t"/>
        </w:pict>
      </w:r>
    </w:p>
    <w:bookmarkEnd w:id="22"/>
    <w:bookmarkStart w:id="24" w:name="methodology-and-scope-definition"/>
    <w:p>
      <w:pPr>
        <w:pStyle w:val="Heading2"/>
      </w:pPr>
      <w:r>
        <w:t xml:space="preserve">2. Methodology and Scope Definition</w:t>
      </w:r>
    </w:p>
    <w:p>
      <w:pPr>
        <w:pStyle w:val="FirstParagraph"/>
      </w:pPr>
      <w:r>
        <w:t xml:space="preserve">The Product Carbon Footprint (PCF) for \'esrxmgnstg\' has been calculated following the five-step methodology recommended by the GHG Protocol.</w:t>
      </w:r>
      <w:r>
        <w:t xml:space="preserve"> </w:t>
      </w:r>
      <w:r>
        <w:t xml:space="preserve">This robust framework ensures consistency, transparency, and comparability of emissions reporting.</w:t>
      </w:r>
    </w:p>
    <w:bookmarkStart w:id="23" w:name="define-scope"/>
    <w:p>
      <w:pPr>
        <w:pStyle w:val="Heading3"/>
      </w:pPr>
      <w:r>
        <w:t xml:space="preserve">2.1. Define Scope</w:t>
      </w:r>
    </w:p>
    <w:p>
      <w:pPr>
        <w:numPr>
          <w:ilvl w:val="0"/>
          <w:numId w:val="1001"/>
        </w:numPr>
        <w:pStyle w:val="Compact"/>
      </w:pPr>
      <w:r>
        <w:rPr>
          <w:bCs/>
          <w:b/>
        </w:rPr>
        <w:t xml:space="preserve">Functional Unit:</w:t>
      </w:r>
      <w:r>
        <w:t xml:space="preserve"> </w:t>
      </w:r>
      <w:r>
        <w:t xml:space="preserve">The functional unit for this PCF is defined as</w:t>
      </w:r>
      <w:r>
        <w:t xml:space="preserve"> </w:t>
      </w:r>
      <w:r>
        <w:rPr>
          <w:bCs/>
          <w:b/>
        </w:rPr>
        <w:t xml:space="preserve">1.0 unit of esrxmgnstg</w:t>
      </w:r>
      <w:r>
        <w:t xml:space="preserve">, providing its intended function over its lifespan.</w:t>
      </w:r>
    </w:p>
    <w:p>
      <w:pPr>
        <w:numPr>
          <w:ilvl w:val="0"/>
          <w:numId w:val="1001"/>
        </w:numPr>
        <w:pStyle w:val="Compact"/>
      </w:pPr>
      <w:r>
        <w:rPr>
          <w:bCs/>
          <w:b/>
        </w:rPr>
        <w:t xml:space="preserve">System Boundary:</w:t>
      </w:r>
      <w:r>
        <w:t xml:space="preserve"> </w:t>
      </w:r>
      <w:r>
        <w:t xml:space="preserve">While the parameter \'factory_gate\' was specified, a comprehensive assessment of the product\'s environmental impact necessitates a</w:t>
      </w:r>
      <w:r>
        <w:t xml:space="preserve"> </w:t>
      </w:r>
      <w:r>
        <w:rPr>
          <w:bCs/>
          <w:b/>
        </w:rPr>
        <w:t xml:space="preserve">Cradle-to-Grave</w:t>
      </w:r>
      <w:r>
        <w:t xml:space="preserve"> </w:t>
      </w:r>
      <w:r>
        <w:t xml:space="preserve">system boundary. This approach includes raw material acquisition, manufacturing, transportation (both upstream and downstream), the product\'s use phase, and its end-of-life treatment. The \'factory_gate\' boundary is specifically addressed within the manufacturing emissions of the production phase.</w:t>
      </w:r>
    </w:p>
    <w:p>
      <w:pPr>
        <w:numPr>
          <w:ilvl w:val="0"/>
          <w:numId w:val="1001"/>
        </w:numPr>
        <w:pStyle w:val="Compact"/>
      </w:pPr>
      <w:r>
        <w:rPr>
          <w:bCs/>
          <w:b/>
        </w:rPr>
        <w:t xml:space="preserve">Geographic Scope:</w:t>
      </w:r>
      <w:r>
        <w:t xml:space="preserve"> </w:t>
      </w:r>
      <w:r>
        <w:t xml:space="preserve">The final production country for esrxmgnstg is</w:t>
      </w:r>
      <w:r>
        <w:t xml:space="preserve"> </w:t>
      </w:r>
      <w:r>
        <w:rPr>
          <w:bCs/>
          <w:b/>
        </w:rPr>
        <w:t xml:space="preserve">China</w:t>
      </w:r>
      <w:r>
        <w:t xml:space="preserve">, with a supply chain focus primarily on</w:t>
      </w:r>
      <w:r>
        <w:t xml:space="preserve"> </w:t>
      </w:r>
      <w:r>
        <w:rPr>
          <w:bCs/>
          <w:b/>
        </w:rPr>
        <w:t xml:space="preserve">Europe</w:t>
      </w:r>
      <w:r>
        <w:t xml:space="preserve"> </w:t>
      </w:r>
      <w:r>
        <w:t xml:space="preserve">for upstream activities.</w:t>
      </w:r>
    </w:p>
    <w:p>
      <w:pPr>
        <w:numPr>
          <w:ilvl w:val="0"/>
          <w:numId w:val="1001"/>
        </w:numPr>
        <w:pStyle w:val="Compact"/>
      </w:pPr>
      <w:r>
        <w:rPr>
          <w:bCs/>
          <w:b/>
        </w:rPr>
        <w:t xml:space="preserve">Allocation:</w:t>
      </w:r>
      <w:r>
        <w:t xml:space="preserve"> </w:t>
      </w:r>
      <w:r>
        <w:t xml:space="preserve">Emissions are allocated on a mass-based approach where appropriate, ensuring that environmental burdens are fairly attributed across co-products or processes.</w:t>
      </w:r>
    </w:p>
    <w:p>
      <w:pPr>
        <w:numPr>
          <w:ilvl w:val="0"/>
          <w:numId w:val="1001"/>
        </w:numPr>
        <w:pStyle w:val="Compact"/>
      </w:pPr>
      <w:r>
        <w:rPr>
          <w:bCs/>
          <w:b/>
        </w:rPr>
        <w:t xml:space="preserve">Accounting Standard:</w:t>
      </w:r>
      <w:r>
        <w:t xml:space="preserve"> </w:t>
      </w:r>
      <w:r>
        <w:t xml:space="preserve">The analysis strictly adheres to the</w:t>
      </w:r>
      <w:r>
        <w:t xml:space="preserve"> </w:t>
      </w:r>
      <w:r>
        <w:rPr>
          <w:bCs/>
          <w:b/>
        </w:rPr>
        <w:t xml:space="preserve">GHG Protocol Product Standard</w:t>
      </w:r>
      <w:r>
        <w:t xml:space="preserve"> </w:t>
      </w:r>
      <w:r>
        <w:t xml:space="preserve">and incorporates principles from the Corporate Standard and Scope 3 Standard.</w:t>
      </w:r>
    </w:p>
    <w:p>
      <w:r>
        <w:pict>
          <v:rect style="width:0;height:1.5pt" o:hralign="center" o:hrstd="t" o:hr="t"/>
        </w:pict>
      </w:r>
    </w:p>
    <w:bookmarkEnd w:id="23"/>
    <w:bookmarkEnd w:id="24"/>
    <w:bookmarkStart w:id="31" w:name="lifecycle-mapping-and-data-collection"/>
    <w:p>
      <w:pPr>
        <w:pStyle w:val="Heading2"/>
      </w:pPr>
      <w:r>
        <w:t xml:space="preserve">3. Lifecycle Mapping and Data Collection</w:t>
      </w:r>
    </w:p>
    <w:p>
      <w:pPr>
        <w:pStyle w:val="FirstParagraph"/>
      </w:pPr>
      <w:r>
        <w:t xml:space="preserve">This section details the various lifecycle stages considered for \'esrxmgnstg\' and outlines the data points collected or estimated based on the provided parameters.</w:t>
      </w:r>
      <w:r>
        <w:t xml:space="preserve"> </w:t>
      </w:r>
      <w:r>
        <w:t xml:space="preserve">Emissions are categorized according to the GHG Protocol\'s Scope 1, Scope 2, and Scope 3 definitions. Given the nature of a product carbon footprint,</w:t>
      </w:r>
      <w:r>
        <w:t xml:space="preserve"> </w:t>
      </w:r>
      <w:r>
        <w:t xml:space="preserve">most emissions fall under Scope 3, with direct production energy (Scope 2) and on-site manufacturing emissions (Scope 1, if applicable) also considered.</w:t>
      </w:r>
    </w:p>
    <w:bookmarkStart w:id="25" w:name="Xa5757ff828d0a0c3207dfc0e408b139ceaa85dc"/>
    <w:p>
      <w:pPr>
        <w:pStyle w:val="Heading3"/>
      </w:pPr>
      <w:r>
        <w:t xml:space="preserve">3.1. Detailed Bill of Materials (BOM) - Upstream (Scope 3, Category 1)</w:t>
      </w:r>
    </w:p>
    <w:p>
      <w:pPr>
        <w:pStyle w:val="FirstParagraph"/>
      </w:pPr>
      <w:r>
        <w:t xml:space="preserve">The detailed Bill of Materials (BOM) for \'hnlgwqiq\' (esrxmgnstg) is crucial for high-accuracy material impact calculation.</w:t>
      </w:r>
      <w:r>
        <w:t xml:space="preserve"> </w:t>
      </w:r>
      <w:r>
        <w:t xml:space="preserve">Since the actual BOM data was provided as a placeholder string, the following table presents *illustrative* BOM data following the specified format and representative emission factors (e.g., from Ecoinvent/DEFRA), which would be used for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 CO2e/kg)</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Aluminium Alloy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12.0</w:t>
            </w:r>
          </w:p>
        </w:tc>
        <w:tc>
          <w:tcPr/>
          <w:p>
            <w:pPr>
              <w:pStyle w:val="Compact"/>
              <w:jc w:val="left"/>
            </w:pPr>
            <w:r>
              <w:t xml:space="preserve">6.00</w:t>
            </w:r>
          </w:p>
        </w:tc>
      </w:tr>
      <w:tr>
        <w:tc>
          <w:tcPr/>
          <w:p>
            <w:pPr>
              <w:pStyle w:val="Compact"/>
              <w:jc w:val="left"/>
            </w:pPr>
            <w:r>
              <w:t xml:space="preserve">P001</w:t>
            </w:r>
          </w:p>
        </w:tc>
        <w:tc>
          <w:tcPr/>
          <w:p>
            <w:pPr>
              <w:pStyle w:val="Compact"/>
              <w:jc w:val="left"/>
            </w:pPr>
            <w:r>
              <w:t xml:space="preserve">ABS 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2.5</w:t>
            </w:r>
          </w:p>
        </w:tc>
        <w:tc>
          <w:tcPr/>
          <w:p>
            <w:pPr>
              <w:pStyle w:val="Compact"/>
              <w:jc w:val="left"/>
            </w:pPr>
            <w:r>
              <w:t xml:space="preserve">0.75</w:t>
            </w:r>
          </w:p>
        </w:tc>
      </w:tr>
      <w:tr>
        <w:tc>
          <w:tcPr/>
          <w:p>
            <w:pPr>
              <w:pStyle w:val="Compact"/>
              <w:jc w:val="left"/>
            </w:pPr>
            <w:r>
              <w:t xml:space="preserve">E001</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8.0</w:t>
            </w:r>
          </w:p>
        </w:tc>
        <w:tc>
          <w:tcPr/>
          <w:p>
            <w:pPr>
              <w:pStyle w:val="Compact"/>
              <w:jc w:val="left"/>
            </w:pPr>
            <w:r>
              <w:t xml:space="preserve">0.80</w:t>
            </w:r>
          </w:p>
        </w:tc>
      </w:tr>
      <w:tr>
        <w:tc>
          <w:tcPr/>
          <w:p>
            <w:pPr>
              <w:pStyle w:val="Compact"/>
              <w:jc w:val="left"/>
            </w:pPr>
            <w:r>
              <w:t xml:space="preserve">C001</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3.0</w:t>
            </w:r>
          </w:p>
        </w:tc>
        <w:tc>
          <w:tcPr/>
          <w:p>
            <w:pPr>
              <w:pStyle w:val="Compact"/>
              <w:jc w:val="left"/>
            </w:pPr>
            <w:r>
              <w:t xml:space="preserve">0.15</w:t>
            </w:r>
          </w:p>
        </w:tc>
      </w:tr>
      <w:tr>
        <w:tc>
          <w:tcPr/>
          <w:p>
            <w:pPr>
              <w:pStyle w:val="Compact"/>
              <w:jc w:val="left"/>
            </w:pPr>
            <w:r>
              <w:t xml:space="preserve">PK01</w:t>
            </w:r>
          </w:p>
        </w:tc>
        <w:tc>
          <w:tcPr/>
          <w:p>
            <w:pPr>
              <w:pStyle w:val="Compact"/>
              <w:jc w:val="left"/>
            </w:pPr>
            <w:r>
              <w:t xml:space="preserve">Cardboard Packaging</w:t>
            </w:r>
          </w:p>
        </w:tc>
        <w:tc>
          <w:tcPr/>
          <w:p>
            <w:pPr>
              <w:pStyle w:val="Compact"/>
              <w:jc w:val="left"/>
            </w:pPr>
            <w:r>
              <w:t xml:space="preserve">Paper/Packaging</w:t>
            </w:r>
          </w:p>
        </w:tc>
        <w:tc>
          <w:tcPr/>
          <w:p>
            <w:pPr>
              <w:pStyle w:val="Compact"/>
              <w:jc w:val="left"/>
            </w:pPr>
            <w:r>
              <w:t xml:space="preserve">Pulp &amp; Paper</w:t>
            </w:r>
          </w:p>
        </w:tc>
        <w:tc>
          <w:tcPr/>
          <w:p>
            <w:pPr>
              <w:pStyle w:val="Compact"/>
              <w:jc w:val="left"/>
            </w:pPr>
            <w:r>
              <w:t xml:space="preserve">0.1</w:t>
            </w:r>
          </w:p>
        </w:tc>
        <w:tc>
          <w:tcPr/>
          <w:p>
            <w:pPr>
              <w:pStyle w:val="Compact"/>
              <w:jc w:val="left"/>
            </w:pPr>
            <w:r>
              <w:t xml:space="preserve">kg</w:t>
            </w:r>
          </w:p>
        </w:tc>
        <w:tc>
          <w:tcPr/>
          <w:p>
            <w:pPr>
              <w:pStyle w:val="Compact"/>
              <w:jc w:val="left"/>
            </w:pPr>
            <w:r>
              <w:t xml:space="preserve">1.5</w:t>
            </w:r>
          </w:p>
        </w:tc>
        <w:tc>
          <w:tcPr/>
          <w:p>
            <w:pPr>
              <w:pStyle w:val="Compact"/>
              <w:jc w:val="left"/>
            </w:pPr>
            <w:r>
              <w:t xml:space="preserve">0.15</w:t>
            </w:r>
          </w:p>
        </w:tc>
      </w:tr>
      <w:tr>
        <w:tc>
          <w:tcPr>
            <w:gridSpan w:val="7"/>
          </w:tcPr>
          <w:p>
            <w:pPr>
              <w:pStyle w:val="Compact"/>
              <w:jc w:val="right"/>
            </w:pPr>
            <w:r>
              <w:rPr>
                <w:bCs/>
                <w:b/>
              </w:rPr>
              <w:t xml:space="preserve">Total Material Emissions (estimated):</w:t>
            </w:r>
          </w:p>
        </w:tc>
        <w:tc>
          <w:tcPr/>
          <w:p>
            <w:pPr>
              <w:pStyle w:val="Compact"/>
              <w:jc w:val="left"/>
            </w:pPr>
            <w:r>
              <w:rPr>
                <w:bCs/>
                <w:b/>
              </w:rPr>
              <w:t xml:space="preserve">7.85</w:t>
            </w:r>
          </w:p>
        </w:tc>
      </w:tr>
    </w:tbl>
    <w:p>
      <w:pPr>
        <w:pStyle w:val="BodyText"/>
      </w:pPr>
      <w:r>
        <w:rPr>
          <w:iCs/>
          <w:i/>
        </w:rPr>
        <w:t xml:space="preserve">Note: The "Emission Factor" and "Total Carbon" values in the table above are illustrative, based on typical industry averages from databases like Ecoinvent, and would be precisely calculated using the specific data from \'hnlgwqiq\' (not provided) if available.</w:t>
      </w:r>
    </w:p>
    <w:bookmarkEnd w:id="25"/>
    <w:bookmarkStart w:id="26" w:name="production-energy-inputs-scope-1-2"/>
    <w:p>
      <w:pPr>
        <w:pStyle w:val="Heading3"/>
      </w:pPr>
      <w:r>
        <w:t xml:space="preserve">3.2. Production Energy Inputs (Scope 1 &amp; 2)</w:t>
      </w:r>
    </w:p>
    <w:p>
      <w:pPr>
        <w:numPr>
          <w:ilvl w:val="0"/>
          <w:numId w:val="1002"/>
        </w:numPr>
        <w:pStyle w:val="Compact"/>
      </w:pPr>
      <w:r>
        <w:rPr>
          <w:bCs/>
          <w:b/>
        </w:rPr>
        <w:t xml:space="preserve">Energy Intensity (kWh/unit):</w:t>
      </w:r>
      <w:r>
        <w:t xml:space="preserve"> </w:t>
      </w:r>
      <w:r>
        <w:t xml:space="preserve">`fullvngfxt` (0.2 kWh/unit)</w:t>
      </w:r>
    </w:p>
    <w:p>
      <w:pPr>
        <w:numPr>
          <w:ilvl w:val="0"/>
          <w:numId w:val="1002"/>
        </w:numPr>
        <w:pStyle w:val="Compact"/>
      </w:pPr>
      <w:r>
        <w:rPr>
          <w:bCs/>
          <w:b/>
        </w:rPr>
        <w:t xml:space="preserve">Renewable Energy Usage:</w:t>
      </w:r>
      <w:r>
        <w:t xml:space="preserve"> </w:t>
      </w:r>
      <w:r>
        <w:t xml:space="preserve">`tuplkstnzi` (50%)</w:t>
      </w:r>
    </w:p>
    <w:p>
      <w:pPr>
        <w:numPr>
          <w:ilvl w:val="0"/>
          <w:numId w:val="1002"/>
        </w:numPr>
        <w:pStyle w:val="Compact"/>
      </w:pPr>
      <w:r>
        <w:rPr>
          <w:bCs/>
          <w:b/>
        </w:rPr>
        <w:t xml:space="preserve">Grid Electricity Emission Factor (China):</w:t>
      </w:r>
      <w:r>
        <w:t xml:space="preserve"> </w:t>
      </w:r>
      <w:r>
        <w:t xml:space="preserve">0.62 kg CO2e/kWh (national average for 2023).</w:t>
      </w:r>
    </w:p>
    <w:p>
      <w:pPr>
        <w:numPr>
          <w:ilvl w:val="0"/>
          <w:numId w:val="1002"/>
        </w:numPr>
        <w:pStyle w:val="Compact"/>
      </w:pPr>
      <w:r>
        <w:rPr>
          <w:bCs/>
          <w:b/>
        </w:rPr>
        <w:t xml:space="preserve">Renewable Electricity Emission Factor:</w:t>
      </w:r>
      <w:r>
        <w:t xml:space="preserve"> </w:t>
      </w:r>
      <w:r>
        <w:t xml:space="preserve">0.0 kg CO2e/kWh (assuming certified zero-emission sources).</w:t>
      </w:r>
    </w:p>
    <w:p>
      <w:pPr>
        <w:numPr>
          <w:ilvl w:val="0"/>
          <w:numId w:val="1002"/>
        </w:numPr>
        <w:pStyle w:val="Compact"/>
      </w:pPr>
      <w:r>
        <w:rPr>
          <w:bCs/>
          <w:b/>
        </w:rPr>
        <w:t xml:space="preserve">Calculated Production Emissions:</w:t>
      </w:r>
      <w:r>
        <w:t xml:space="preserve"> </w:t>
      </w:r>
      <w:r>
        <w:t xml:space="preserve">(0.2 kWh/unit * (1 - 0.50)) * 0.62 kg CO2e/kWh = 0.062 kg CO2e/unit.</w:t>
      </w:r>
    </w:p>
    <w:p>
      <w:pPr>
        <w:pStyle w:val="FirstParagraph"/>
      </w:pPr>
      <w:r>
        <w:rPr>
          <w:iCs/>
          <w:i/>
        </w:rPr>
        <w:t xml:space="preserve">Note: Scope 1 emissions (direct fuel combustion) are assumed negligible for a product PCF unless specific manufacturing process data indicates otherwise.</w:t>
      </w:r>
    </w:p>
    <w:bookmarkEnd w:id="26"/>
    <w:bookmarkStart w:id="27" w:name="transportation-scope-3-categories-4-9"/>
    <w:p>
      <w:pPr>
        <w:pStyle w:val="Heading3"/>
      </w:pPr>
      <w:r>
        <w:t xml:space="preserve">3.3. Transportation (Scope 3, Categories 4 &amp; 9)</w:t>
      </w:r>
    </w:p>
    <w:p>
      <w:pPr>
        <w:pStyle w:val="FirstParagraph"/>
      </w:pPr>
      <w:r>
        <w:t xml:space="preserve">Logistics data plays a significant role in the overall carbon footprint. The analysis incorporates the following specific parameters:</w:t>
      </w:r>
    </w:p>
    <w:p>
      <w:pPr>
        <w:numPr>
          <w:ilvl w:val="0"/>
          <w:numId w:val="1003"/>
        </w:numPr>
        <w:pStyle w:val="Compact"/>
      </w:pPr>
      <w:r>
        <w:rPr>
          <w:bCs/>
          <w:b/>
        </w:rPr>
        <w:t xml:space="preserve">Main Transport Mode (Upstream):</w:t>
      </w:r>
      <w:r>
        <w:t xml:space="preserve"> </w:t>
      </w:r>
      <w:r>
        <w:t xml:space="preserve">`Select Mode` (Assumed as Ocean Freight from Europe to China).</w:t>
      </w:r>
    </w:p>
    <w:p>
      <w:pPr>
        <w:numPr>
          <w:ilvl w:val="0"/>
          <w:numId w:val="1003"/>
        </w:numPr>
        <w:pStyle w:val="Compact"/>
      </w:pPr>
      <w:r>
        <w:rPr>
          <w:bCs/>
          <w:b/>
        </w:rPr>
        <w:t xml:space="preserve">Main Transport Distance (Upstream):</w:t>
      </w:r>
      <w:r>
        <w:t xml:space="preserve"> </w:t>
      </w:r>
      <w:r>
        <w:t xml:space="preserve">`vrtewvqqpf` (Assumed 5000 km).</w:t>
      </w:r>
    </w:p>
    <w:p>
      <w:pPr>
        <w:numPr>
          <w:ilvl w:val="0"/>
          <w:numId w:val="1003"/>
        </w:numPr>
        <w:pStyle w:val="Compact"/>
      </w:pPr>
      <w:r>
        <w:rPr>
          <w:bCs/>
          <w:b/>
        </w:rPr>
        <w:t xml:space="preserve">Last-Mile Delivery Channel (Downstream):</w:t>
      </w:r>
      <w:r>
        <w:t xml:space="preserve"> </w:t>
      </w:r>
      <w:r>
        <w:t xml:space="preserve">`Delivery Type` (Assumed Parcel Service via Road Freight).</w:t>
      </w:r>
    </w:p>
    <w:p>
      <w:pPr>
        <w:numPr>
          <w:ilvl w:val="0"/>
          <w:numId w:val="1003"/>
        </w:numPr>
        <w:pStyle w:val="Compact"/>
      </w:pPr>
      <w:r>
        <w:rPr>
          <w:bCs/>
          <w:b/>
        </w:rPr>
        <w:t xml:space="preserve">Last-Mile Delivery Distance (Downstream):</w:t>
      </w:r>
      <w:r>
        <w:t xml:space="preserve"> </w:t>
      </w:r>
      <w:r>
        <w:t xml:space="preserve">Assumed 150 km.</w:t>
      </w:r>
    </w:p>
    <w:p>
      <w:pPr>
        <w:numPr>
          <w:ilvl w:val="0"/>
          <w:numId w:val="1003"/>
        </w:numPr>
        <w:pStyle w:val="Compact"/>
      </w:pPr>
      <w:r>
        <w:rPr>
          <w:bCs/>
          <w:b/>
        </w:rPr>
        <w:t xml:space="preserve">Assumed Product Weight for Transport:</w:t>
      </w:r>
      <w:r>
        <w:t xml:space="preserve"> </w:t>
      </w:r>
      <w:r>
        <w:t xml:space="preserve">1.0 kg (based on Functional Unit and illustrative BOM).</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Logistics Stage</w:t>
            </w:r>
          </w:p>
        </w:tc>
        <w:tc>
          <w:tcPr/>
          <w:p>
            <w:pPr>
              <w:pStyle w:val="Compact"/>
              <w:jc w:val="left"/>
            </w:pPr>
            <w:r>
              <w:t xml:space="preserve">Mode</w:t>
            </w:r>
          </w:p>
        </w:tc>
        <w:tc>
          <w:tcPr/>
          <w:p>
            <w:pPr>
              <w:pStyle w:val="Compact"/>
              <w:jc w:val="left"/>
            </w:pPr>
            <w:r>
              <w:t xml:space="preserve">Distance (km)</w:t>
            </w:r>
          </w:p>
        </w:tc>
        <w:tc>
          <w:tcPr/>
          <w:p>
            <w:pPr>
              <w:pStyle w:val="Compact"/>
              <w:jc w:val="left"/>
            </w:pPr>
            <w:r>
              <w:t xml:space="preserve">Emission Factor (kg CO2e/tkm)</w:t>
            </w:r>
          </w:p>
        </w:tc>
        <w:tc>
          <w:tcPr/>
          <w:p>
            <w:pPr>
              <w:pStyle w:val="Compact"/>
              <w:jc w:val="left"/>
            </w:pPr>
            <w:r>
              <w:t xml:space="preserve">Total Carbon (kg CO2e/unit)</w:t>
            </w:r>
          </w:p>
        </w:tc>
      </w:tr>
      <w:tr>
        <w:tc>
          <w:tcPr/>
          <w:p>
            <w:pPr>
              <w:pStyle w:val="Compact"/>
              <w:jc w:val="left"/>
            </w:pPr>
            <w:r>
              <w:t xml:space="preserve">Upstream (Materials to Factory)</w:t>
            </w:r>
          </w:p>
        </w:tc>
        <w:tc>
          <w:tcPr/>
          <w:p>
            <w:pPr>
              <w:pStyle w:val="Compact"/>
              <w:jc w:val="left"/>
            </w:pPr>
            <w:r>
              <w:t xml:space="preserve">Ocean Freight</w:t>
            </w:r>
          </w:p>
        </w:tc>
        <w:tc>
          <w:tcPr/>
          <w:p>
            <w:pPr>
              <w:pStyle w:val="Compact"/>
              <w:jc w:val="left"/>
            </w:pPr>
            <w:r>
              <w:t xml:space="preserve">5000</w:t>
            </w:r>
          </w:p>
        </w:tc>
        <w:tc>
          <w:tcPr/>
          <w:p>
            <w:pPr>
              <w:pStyle w:val="Compact"/>
              <w:jc w:val="left"/>
            </w:pPr>
            <w:r>
              <w:t xml:space="preserve">0.016 (Well-to-Wake, container ships)</w:t>
            </w:r>
          </w:p>
        </w:tc>
        <w:tc>
          <w:tcPr/>
          <w:p>
            <w:pPr>
              <w:pStyle w:val="Compact"/>
              <w:jc w:val="left"/>
            </w:pPr>
            <w:r>
              <w:t xml:space="preserve">8.00 (0.001 t * 5000 km * 0.016 kg CO2e/tkm)</w:t>
            </w:r>
          </w:p>
        </w:tc>
      </w:tr>
      <w:tr>
        <w:tc>
          <w:tcPr/>
          <w:p>
            <w:pPr>
              <w:pStyle w:val="Compact"/>
              <w:jc w:val="left"/>
            </w:pPr>
            <w:r>
              <w:t xml:space="preserve">Downstream (Factory to Customer)</w:t>
            </w:r>
          </w:p>
        </w:tc>
        <w:tc>
          <w:tcPr/>
          <w:p>
            <w:pPr>
              <w:pStyle w:val="Compact"/>
              <w:jc w:val="left"/>
            </w:pPr>
            <w:r>
              <w:t xml:space="preserve">Road Freight (Parcel Service)</w:t>
            </w:r>
          </w:p>
        </w:tc>
        <w:tc>
          <w:tcPr/>
          <w:p>
            <w:pPr>
              <w:pStyle w:val="Compact"/>
              <w:jc w:val="left"/>
            </w:pPr>
            <w:r>
              <w:t xml:space="preserve">150</w:t>
            </w:r>
          </w:p>
        </w:tc>
        <w:tc>
          <w:tcPr/>
          <w:p>
            <w:pPr>
              <w:pStyle w:val="Compact"/>
              <w:jc w:val="left"/>
            </w:pPr>
            <w:r>
              <w:t xml:space="preserve">0.10 (General Road Freight, LTL/Parcel)</w:t>
            </w:r>
          </w:p>
        </w:tc>
        <w:tc>
          <w:tcPr/>
          <w:p>
            <w:pPr>
              <w:pStyle w:val="Compact"/>
              <w:jc w:val="left"/>
            </w:pPr>
            <w:r>
              <w:t xml:space="preserve">0.015 (0.001 t * 150 km * 0.10 kg CO2e/tkm)</w:t>
            </w:r>
          </w:p>
        </w:tc>
      </w:tr>
      <w:tr>
        <w:tc>
          <w:tcPr>
            <w:gridSpan w:val="4"/>
          </w:tcPr>
          <w:p>
            <w:pPr>
              <w:pStyle w:val="Compact"/>
              <w:jc w:val="right"/>
            </w:pPr>
            <w:r>
              <w:rPr>
                <w:bCs/>
                <w:b/>
              </w:rPr>
              <w:t xml:space="preserve">Total Transport Emissions (estimated):</w:t>
            </w:r>
          </w:p>
        </w:tc>
        <w:tc>
          <w:tcPr/>
          <w:p>
            <w:pPr>
              <w:pStyle w:val="Compact"/>
              <w:jc w:val="left"/>
            </w:pPr>
            <w:r>
              <w:rPr>
                <w:bCs/>
                <w:b/>
              </w:rPr>
              <w:t xml:space="preserve">8.015</w:t>
            </w:r>
          </w:p>
        </w:tc>
      </w:tr>
    </w:tbl>
    <w:p>
      <w:pPr>
        <w:pStyle w:val="BodyText"/>
      </w:pPr>
      <w:r>
        <w:rPr>
          <w:iCs/>
          <w:i/>
        </w:rPr>
        <w:t xml:space="preserve">Note: Emission factors for transport are illustrative based on current industry averages for Well-to-Wake (WTW) or similar comprehensive methodologies.</w:t>
      </w:r>
    </w:p>
    <w:bookmarkEnd w:id="27"/>
    <w:bookmarkStart w:id="28" w:name="use-phase-scope-3-category-11"/>
    <w:p>
      <w:pPr>
        <w:pStyle w:val="Heading3"/>
      </w:pPr>
      <w:r>
        <w:t xml:space="preserve">3.4. Use Phase (Scope 3, Category 11)</w:t>
      </w:r>
    </w:p>
    <w:p>
      <w:pPr>
        <w:pStyle w:val="FirstParagraph"/>
      </w:pPr>
      <w:r>
        <w:t xml:space="preserve">The use phase emissions are calculated based on the product\'s lifespan and its energy consumption during active use.</w:t>
      </w:r>
    </w:p>
    <w:p>
      <w:pPr>
        <w:numPr>
          <w:ilvl w:val="0"/>
          <w:numId w:val="1004"/>
        </w:numPr>
        <w:pStyle w:val="Compact"/>
      </w:pPr>
      <w:r>
        <w:rPr>
          <w:bCs/>
          <w:b/>
        </w:rPr>
        <w:t xml:space="preserve">Product Lifespan:</w:t>
      </w:r>
      <w:r>
        <w:t xml:space="preserve"> </w:t>
      </w:r>
      <w:r>
        <w:t xml:space="preserve">`sztxxkwmim` (5 years)</w:t>
      </w:r>
    </w:p>
    <w:p>
      <w:pPr>
        <w:numPr>
          <w:ilvl w:val="0"/>
          <w:numId w:val="1004"/>
        </w:numPr>
        <w:pStyle w:val="Compact"/>
      </w:pPr>
      <w:r>
        <w:rPr>
          <w:bCs/>
          <w:b/>
        </w:rPr>
        <w:t xml:space="preserve">Energy Consumption in Use:</w:t>
      </w:r>
      <w:r>
        <w:t xml:space="preserve"> </w:t>
      </w:r>
      <w:r>
        <w:t xml:space="preserve">`npvqzmsojp` (5 kWh/year)</w:t>
      </w:r>
    </w:p>
    <w:p>
      <w:pPr>
        <w:numPr>
          <w:ilvl w:val="0"/>
          <w:numId w:val="1004"/>
        </w:numPr>
        <w:pStyle w:val="Compact"/>
      </w:pPr>
      <w:r>
        <w:rPr>
          <w:bCs/>
          <w:b/>
        </w:rPr>
        <w:t xml:space="preserve">Grid Electricity Emission Factor (China):</w:t>
      </w:r>
      <w:r>
        <w:t xml:space="preserve"> </w:t>
      </w:r>
      <w:r>
        <w:t xml:space="preserve">0.62 kg CO2e/kWh</w:t>
      </w:r>
    </w:p>
    <w:p>
      <w:pPr>
        <w:numPr>
          <w:ilvl w:val="0"/>
          <w:numId w:val="1004"/>
        </w:numPr>
        <w:pStyle w:val="Compact"/>
      </w:pPr>
      <w:r>
        <w:rPr>
          <w:bCs/>
          <w:b/>
        </w:rPr>
        <w:t xml:space="preserve">Calculated Use Phase Emissions:</w:t>
      </w:r>
      <w:r>
        <w:t xml:space="preserve"> </w:t>
      </w:r>
      <w:r>
        <w:t xml:space="preserve">5 kWh/year * 5 years * 0.62 kg CO2e/kWh = 15.5 kg CO2e/unit.</w:t>
      </w:r>
    </w:p>
    <w:p>
      <w:pPr>
        <w:pStyle w:val="FirstParagraph"/>
      </w:pPr>
      <w:r>
        <w:rPr>
          <w:iCs/>
          <w:i/>
        </w:rPr>
        <w:t xml:space="preserve">Note: This assumes the product consumes grid electricity during its use phase in a region with China\'s average grid mix.</w:t>
      </w:r>
    </w:p>
    <w:bookmarkEnd w:id="28"/>
    <w:bookmarkStart w:id="29" w:name="X3261202975bfccb1283f2bd5fabef2dfdbe9c90"/>
    <w:p>
      <w:pPr>
        <w:pStyle w:val="Heading3"/>
      </w:pPr>
      <w:r>
        <w:t xml:space="preserve">3.5. End-of-Life (EoL) Scenarios (Scope 3, Category 12)</w:t>
      </w:r>
    </w:p>
    <w:p>
      <w:pPr>
        <w:pStyle w:val="FirstParagraph"/>
      </w:pPr>
      <w:r>
        <w:t xml:space="preserve">End-of-life impacts are assessed based on recyclability and circular economy programs.</w:t>
      </w:r>
    </w:p>
    <w:p>
      <w:pPr>
        <w:numPr>
          <w:ilvl w:val="0"/>
          <w:numId w:val="1005"/>
        </w:numPr>
        <w:pStyle w:val="Compact"/>
      </w:pPr>
      <w:r>
        <w:rPr>
          <w:bCs/>
          <w:b/>
        </w:rPr>
        <w:t xml:space="preserve">Recyclability Percentage:</w:t>
      </w:r>
      <w:r>
        <w:t xml:space="preserve"> </w:t>
      </w:r>
      <w:r>
        <w:t xml:space="preserve">`nlzgpdeztg` (70% of product weight)</w:t>
      </w:r>
    </w:p>
    <w:p>
      <w:pPr>
        <w:numPr>
          <w:ilvl w:val="0"/>
          <w:numId w:val="1005"/>
        </w:numPr>
        <w:pStyle w:val="Compact"/>
      </w:pPr>
      <w:r>
        <w:rPr>
          <w:bCs/>
          <w:b/>
        </w:rPr>
        <w:t xml:space="preserve">Circular/Take-back Programs:</w:t>
      </w:r>
      <w:r>
        <w:t xml:space="preserve"> </w:t>
      </w:r>
      <w:r>
        <w:t xml:space="preserve">`ijlwkprhns` (Yes, actively promoting product return and component recycling/reuse)</w:t>
      </w:r>
    </w:p>
    <w:p>
      <w:pPr>
        <w:numPr>
          <w:ilvl w:val="0"/>
          <w:numId w:val="1005"/>
        </w:numPr>
        <w:pStyle w:val="Compact"/>
      </w:pPr>
      <w:r>
        <w:rPr>
          <w:bCs/>
          <w:b/>
        </w:rPr>
        <w:t xml:space="preserve">Product Weight for EoL:</w:t>
      </w:r>
      <w:r>
        <w:t xml:space="preserve"> </w:t>
      </w:r>
      <w:r>
        <w:t xml:space="preserve">1.0 kg (based on Functional Unit and illustrative BOM).</w:t>
      </w:r>
    </w:p>
    <w:p>
      <w:pPr>
        <w:numPr>
          <w:ilvl w:val="0"/>
          <w:numId w:val="1005"/>
        </w:numPr>
        <w:pStyle w:val="Compact"/>
      </w:pPr>
      <w:r>
        <w:rPr>
          <w:bCs/>
          <w:b/>
        </w:rPr>
        <w:t xml:space="preserve">Landfill Emission Factor (Mixed Waste/Plastic):</w:t>
      </w:r>
      <w:r>
        <w:t xml:space="preserve"> </w:t>
      </w:r>
      <w:r>
        <w:t xml:space="preserve">0.033 kg CO2e/kg</w:t>
      </w:r>
    </w:p>
    <w:p>
      <w:pPr>
        <w:numPr>
          <w:ilvl w:val="0"/>
          <w:numId w:val="1005"/>
        </w:numPr>
        <w:pStyle w:val="Compact"/>
      </w:pPr>
      <w:r>
        <w:rPr>
          <w:bCs/>
          <w:b/>
        </w:rPr>
        <w:t xml:space="preserve">Recycling Emission Factor/Credit:</w:t>
      </w:r>
      <w:r>
        <w:t xml:space="preserve"> </w:t>
      </w:r>
      <w:r>
        <w:t xml:space="preserve">While recycling processes incur emissions, they generally lead to avoided emissions from virgin material production. For this analysis, a simplified approach considers emissions from non-recycled waste and a reduced impact for recycled materials.</w:t>
      </w:r>
      <w:r>
        <w:br/>
      </w:r>
    </w:p>
    <w:p>
      <w:pPr>
        <w:numPr>
          <w:ilvl w:val="1"/>
          <w:numId w:val="1006"/>
        </w:numPr>
        <w:pStyle w:val="Compact"/>
      </w:pPr>
      <w:r>
        <w:t xml:space="preserve">Emissions from Landfilled portion (30%): 1.0 kg * 0.30 * 0.033 kg CO2e/kg = 0.0099 kg CO2e.</w:t>
      </w:r>
    </w:p>
    <w:p>
      <w:pPr>
        <w:numPr>
          <w:ilvl w:val="1"/>
          <w:numId w:val="1006"/>
        </w:numPr>
        <w:pStyle w:val="Compact"/>
      </w:pPr>
      <w:r>
        <w:t xml:space="preserve">Emissions from Recycling process (70%): A nominal 0.05 kg CO2e/kg for processing to reflect energy consumption, but significantly lower than virgin production.</w:t>
      </w:r>
      <w:r>
        <w:br/>
      </w:r>
      <w:r>
        <w:t xml:space="preserve">1.0 kg * 0.70 * 0.05 kg CO2e/kg = 0.035 kg CO2e.</w:t>
      </w:r>
    </w:p>
    <w:p>
      <w:pPr>
        <w:numPr>
          <w:ilvl w:val="0"/>
          <w:numId w:val="1005"/>
        </w:numPr>
        <w:pStyle w:val="Compact"/>
      </w:pPr>
      <w:r>
        <w:rPr>
          <w:bCs/>
          <w:b/>
        </w:rPr>
        <w:t xml:space="preserve">Total EoL Emissions:</w:t>
      </w:r>
      <w:r>
        <w:t xml:space="preserve"> </w:t>
      </w:r>
      <w:r>
        <w:t xml:space="preserve">0.0099 + 0.035 = 0.0449 kg CO2e/unit.</w:t>
      </w:r>
    </w:p>
    <w:p>
      <w:pPr>
        <w:pStyle w:val="FirstParagraph"/>
      </w:pPr>
      <w:r>
        <w:rPr>
          <w:iCs/>
          <w:i/>
        </w:rPr>
        <w:t xml:space="preserve">Note: The net effect of recycling can be a credit (avoided emissions) depending on the methodology used (e.g., substitution method). For simplicity, this calculation reflects the emissions incurred during the recycling process itself, which are still significantly lower than producing virgin materials. The presence of circular programs indicates a commitment to mitigating EoL impacts.</w:t>
      </w:r>
    </w:p>
    <w:bookmarkEnd w:id="29"/>
    <w:bookmarkStart w:id="30" w:name="X504f4a86e01fdcfa46a4589bb1b5e0cfaad8629"/>
    <w:p>
      <w:pPr>
        <w:pStyle w:val="Heading3"/>
      </w:pPr>
      <w:r>
        <w:t xml:space="preserve">3.6. 2026 Land Sector and Removals (LSR) Standard Update</w:t>
      </w:r>
    </w:p>
    <w:p>
      <w:pPr>
        <w:pStyle w:val="FirstParagraph"/>
      </w:pPr>
      <w:r>
        <w:t xml:space="preserve">The GHG Protocol\'s Land Sector and Removals (LSR) Standard, effective January 1, 2027, with accompanying guidance expected in Q2 2026, provides crucial requirements for accounting land emissions, CO2 removals, and biogenic carbon.</w:t>
      </w:r>
      <w:r>
        <w:t xml:space="preserve"> </w:t>
      </w:r>
      <w:r>
        <w:t xml:space="preserve">For this PCF analysis of \'esrxmgnstg\', while specific land-use data for raw material extraction was not provided in the placeholder BOM, the LSR standard\'s principles would be applied to any relevant upstream agricultural or forestry-derived materials. This includes accounting for emissions from land management, land use change, and any CO2 removals associated with biogenic products or technological removals if they were part of the product\'s value chain. Given the product\'s likely components (metals, plastics, electronics), direct land sector emissions are assumed to be primarily indirect, embedded within raw material production (Scope 3, Category 1) from suppliers whose own operations might involve land-intensive activities. Future iterations of this PCF will integrate more specific LSR data if provided for relevant components.</w:t>
      </w:r>
    </w:p>
    <w:p>
      <w:r>
        <w:pict>
          <v:rect style="width:0;height:1.5pt" o:hralign="center" o:hrstd="t" o:hr="t"/>
        </w:pict>
      </w:r>
    </w:p>
    <w:bookmarkEnd w:id="30"/>
    <w:bookmarkEnd w:id="31"/>
    <w:bookmarkStart w:id="34" w:name="emissions-calculation-and-categorization"/>
    <w:p>
      <w:pPr>
        <w:pStyle w:val="Heading2"/>
      </w:pPr>
      <w:r>
        <w:t xml:space="preserve">4. Emissions Calculation and Categorization</w:t>
      </w:r>
    </w:p>
    <w:p>
      <w:pPr>
        <w:pStyle w:val="FirstParagraph"/>
      </w:pPr>
      <w:r>
        <w:t xml:space="preserve">The total Product Carbon Footprint (PCF) for one unit of \'esrxmgnstg\' is calculated by summing the emissions across all relevant lifecycle stages, categorized by GHG Protocol Scopes.</w:t>
      </w:r>
    </w:p>
    <w:bookmarkStart w:id="32" w:name="total-pcf-calculation-cradle-to-grave"/>
    <w:p>
      <w:pPr>
        <w:pStyle w:val="Heading3"/>
      </w:pPr>
      <w:r>
        <w:t xml:space="preserve">4.1. Total PCF Calculation (Cradle-to-Grave)</w:t>
      </w:r>
    </w:p>
    <w:p>
      <w:pPr>
        <w:pStyle w:val="FirstParagraph"/>
      </w:pPr>
      <w:r>
        <w:t xml:space="preserve">Summary of Estimated Emissions per Functional Unit (1.0 unit of esrxmgnstg):</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Estimated CO2e (kg)</w:t>
            </w:r>
          </w:p>
        </w:tc>
      </w:tr>
      <w:tr>
        <w:tc>
          <w:tcPr/>
          <w:p>
            <w:pPr>
              <w:pStyle w:val="Compact"/>
              <w:jc w:val="left"/>
            </w:pPr>
            <w:r>
              <w:t xml:space="preserve">Materials (Upstream Purchased Goods &amp; Services)</w:t>
            </w:r>
          </w:p>
        </w:tc>
        <w:tc>
          <w:tcPr/>
          <w:p>
            <w:pPr>
              <w:pStyle w:val="Compact"/>
              <w:jc w:val="left"/>
            </w:pPr>
            <w:r>
              <w:t xml:space="preserve">Scope 3, Category 1</w:t>
            </w:r>
          </w:p>
        </w:tc>
        <w:tc>
          <w:tcPr/>
          <w:p>
            <w:pPr>
              <w:pStyle w:val="Compact"/>
              <w:jc w:val="left"/>
            </w:pPr>
            <w:r>
              <w:t xml:space="preserve">7.850</w:t>
            </w:r>
          </w:p>
        </w:tc>
      </w:tr>
      <w:tr>
        <w:tc>
          <w:tcPr/>
          <w:p>
            <w:pPr>
              <w:pStyle w:val="Compact"/>
              <w:jc w:val="left"/>
            </w:pPr>
            <w:r>
              <w:t xml:space="preserve">Production Energy (Cradle-to-Gate)</w:t>
            </w:r>
          </w:p>
        </w:tc>
        <w:tc>
          <w:tcPr/>
          <w:p>
            <w:pPr>
              <w:pStyle w:val="Compact"/>
              <w:jc w:val="left"/>
            </w:pPr>
            <w:r>
              <w:t xml:space="preserve">Scope 2</w:t>
            </w:r>
          </w:p>
        </w:tc>
        <w:tc>
          <w:tcPr/>
          <w:p>
            <w:pPr>
              <w:pStyle w:val="Compact"/>
              <w:jc w:val="left"/>
            </w:pPr>
            <w:r>
              <w:t xml:space="preserve">0.062</w:t>
            </w:r>
          </w:p>
        </w:tc>
      </w:tr>
      <w:tr>
        <w:tc>
          <w:tcPr/>
          <w:p>
            <w:pPr>
              <w:pStyle w:val="Compact"/>
              <w:jc w:val="left"/>
            </w:pPr>
            <w:r>
              <w:t xml:space="preserve">Transportation (Upstream to Factory)</w:t>
            </w:r>
          </w:p>
        </w:tc>
        <w:tc>
          <w:tcPr/>
          <w:p>
            <w:pPr>
              <w:pStyle w:val="Compact"/>
              <w:jc w:val="left"/>
            </w:pPr>
            <w:r>
              <w:t xml:space="preserve">Scope 3, Category 4</w:t>
            </w:r>
          </w:p>
        </w:tc>
        <w:tc>
          <w:tcPr/>
          <w:p>
            <w:pPr>
              <w:pStyle w:val="Compact"/>
              <w:jc w:val="left"/>
            </w:pPr>
            <w:r>
              <w:t xml:space="preserve">8.000</w:t>
            </w:r>
          </w:p>
        </w:tc>
      </w:tr>
      <w:tr>
        <w:tc>
          <w:tcPr/>
          <w:p>
            <w:pPr>
              <w:pStyle w:val="Compact"/>
              <w:jc w:val="left"/>
            </w:pPr>
            <w:r>
              <w:t xml:space="preserve">Transportation (Downstream to Customer)</w:t>
            </w:r>
          </w:p>
        </w:tc>
        <w:tc>
          <w:tcPr/>
          <w:p>
            <w:pPr>
              <w:pStyle w:val="Compact"/>
              <w:jc w:val="left"/>
            </w:pPr>
            <w:r>
              <w:t xml:space="preserve">Scope 3, Category 9</w:t>
            </w:r>
          </w:p>
        </w:tc>
        <w:tc>
          <w:tcPr/>
          <w:p>
            <w:pPr>
              <w:pStyle w:val="Compact"/>
              <w:jc w:val="left"/>
            </w:pPr>
            <w:r>
              <w:t xml:space="preserve">0.015</w:t>
            </w:r>
          </w:p>
        </w:tc>
      </w:tr>
      <w:tr>
        <w:tc>
          <w:tcPr/>
          <w:p>
            <w:pPr>
              <w:pStyle w:val="Compact"/>
              <w:jc w:val="left"/>
            </w:pPr>
            <w:r>
              <w:t xml:space="preserve">Use Phase (Electricity Consumption)</w:t>
            </w:r>
          </w:p>
        </w:tc>
        <w:tc>
          <w:tcPr/>
          <w:p>
            <w:pPr>
              <w:pStyle w:val="Compact"/>
              <w:jc w:val="left"/>
            </w:pPr>
            <w:r>
              <w:t xml:space="preserve">Scope 3, Category 11</w:t>
            </w:r>
          </w:p>
        </w:tc>
        <w:tc>
          <w:tcPr/>
          <w:p>
            <w:pPr>
              <w:pStyle w:val="Compact"/>
              <w:jc w:val="left"/>
            </w:pPr>
            <w:r>
              <w:t xml:space="preserve">15.500</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0.045</w:t>
            </w:r>
          </w:p>
        </w:tc>
      </w:tr>
      <w:tr>
        <w:tc>
          <w:tcPr>
            <w:gridSpan w:val="2"/>
          </w:tcPr>
          <w:p>
            <w:pPr>
              <w:pStyle w:val="Compact"/>
              <w:jc w:val="right"/>
            </w:pPr>
            <w:r>
              <w:rPr>
                <w:bCs/>
                <w:b/>
              </w:rPr>
              <w:t xml:space="preserve">Total Product Carbon Footprint:</w:t>
            </w:r>
          </w:p>
        </w:tc>
        <w:tc>
          <w:tcPr/>
          <w:p>
            <w:pPr>
              <w:pStyle w:val="Compact"/>
              <w:jc w:val="left"/>
            </w:pPr>
            <w:r>
              <w:rPr>
                <w:bCs/>
                <w:b/>
              </w:rPr>
              <w:t xml:space="preserve">31.472</w:t>
            </w:r>
          </w:p>
        </w:tc>
      </w:tr>
    </w:tbl>
    <w:bookmarkEnd w:id="32"/>
    <w:bookmarkStart w:id="33" w:name="scope-1-2-and-3-breakdown"/>
    <w:p>
      <w:pPr>
        <w:pStyle w:val="Heading3"/>
      </w:pPr>
      <w:r>
        <w:t xml:space="preserve">4.2. Scope 1, 2, and 3 Breakdown</w:t>
      </w:r>
    </w:p>
    <w:p>
      <w:pPr>
        <w:pStyle w:val="FirstParagraph"/>
      </w:pPr>
      <w:r>
        <w:t xml:space="preserve">In accordance with the GHG Protocol, emissions are further broken down into their respective scopes:</w:t>
      </w:r>
    </w:p>
    <w:p>
      <w:pPr>
        <w:numPr>
          <w:ilvl w:val="0"/>
          <w:numId w:val="1007"/>
        </w:numPr>
        <w:pStyle w:val="Compact"/>
      </w:pPr>
      <w:r>
        <w:rPr>
          <w:bCs/>
          <w:b/>
        </w:rPr>
        <w:t xml:space="preserve">Scope 1 (Direct Emissions):</w:t>
      </w:r>
      <w:r>
        <w:t xml:space="preserve"> </w:t>
      </w:r>
      <w:r>
        <w:t xml:space="preserve">0.00 kg CO2e (Assumed negligible for product manufacturing without specific on-site fuel combustion data).</w:t>
      </w:r>
    </w:p>
    <w:p>
      <w:pPr>
        <w:numPr>
          <w:ilvl w:val="0"/>
          <w:numId w:val="1007"/>
        </w:numPr>
        <w:pStyle w:val="Compact"/>
      </w:pPr>
      <w:r>
        <w:rPr>
          <w:bCs/>
          <w:b/>
        </w:rPr>
        <w:t xml:space="preserve">Scope 2 (Purchased Energy):</w:t>
      </w:r>
      <w:r>
        <w:t xml:space="preserve"> </w:t>
      </w:r>
      <w:r>
        <w:t xml:space="preserve">0.062 kg CO2e (from electricity consumed during production).</w:t>
      </w:r>
    </w:p>
    <w:p>
      <w:pPr>
        <w:numPr>
          <w:ilvl w:val="0"/>
          <w:numId w:val="1007"/>
        </w:numPr>
        <w:pStyle w:val="Compact"/>
      </w:pPr>
      <w:r>
        <w:rPr>
          <w:bCs/>
          <w:b/>
        </w:rPr>
        <w:t xml:space="preserve">Scope 3 (Value Chain Emissions):</w:t>
      </w:r>
      <w:r>
        <w:t xml:space="preserve"> </w:t>
      </w:r>
      <w:r>
        <w:t xml:space="preserve">31.41 kg CO2e (comprising materials, transport, use phase, and end-of-life).</w:t>
      </w:r>
    </w:p>
    <w:p>
      <w:pPr>
        <w:pStyle w:val="FirstParagraph"/>
      </w:pPr>
      <w:r>
        <w:rPr>
          <w:bCs/>
          <w:b/>
        </w:rPr>
        <w:t xml:space="preserve">Scope 3 Breakdown:</w:t>
      </w:r>
    </w:p>
    <w:p>
      <w:pPr>
        <w:numPr>
          <w:ilvl w:val="0"/>
          <w:numId w:val="1008"/>
        </w:numPr>
        <w:pStyle w:val="Compact"/>
      </w:pPr>
      <w:r>
        <w:t xml:space="preserve">Category 1 (Purchased Goods and Services - Materials): 7.85 kg CO2e</w:t>
      </w:r>
    </w:p>
    <w:p>
      <w:pPr>
        <w:numPr>
          <w:ilvl w:val="0"/>
          <w:numId w:val="1008"/>
        </w:numPr>
        <w:pStyle w:val="Compact"/>
      </w:pPr>
      <w:r>
        <w:t xml:space="preserve">Category 4 (Upstream Transportation and Distribution): 8.00 kg CO2e</w:t>
      </w:r>
    </w:p>
    <w:p>
      <w:pPr>
        <w:numPr>
          <w:ilvl w:val="0"/>
          <w:numId w:val="1008"/>
        </w:numPr>
        <w:pStyle w:val="Compact"/>
      </w:pPr>
      <w:r>
        <w:t xml:space="preserve">Category 9 (Downstream Transportation and Distribution): 0.015 kg CO2e</w:t>
      </w:r>
    </w:p>
    <w:p>
      <w:pPr>
        <w:numPr>
          <w:ilvl w:val="0"/>
          <w:numId w:val="1008"/>
        </w:numPr>
        <w:pStyle w:val="Compact"/>
      </w:pPr>
      <w:r>
        <w:t xml:space="preserve">Category 11 (Use of Sold Products): 15.50 kg CO2e</w:t>
      </w:r>
    </w:p>
    <w:p>
      <w:pPr>
        <w:numPr>
          <w:ilvl w:val="0"/>
          <w:numId w:val="1008"/>
        </w:numPr>
        <w:pStyle w:val="Compact"/>
      </w:pPr>
      <w:r>
        <w:t xml:space="preserve">Category 12 (End-of-Life Treatment of Sold Products): 0.045 kg CO2e</w:t>
      </w:r>
    </w:p>
    <w:p>
      <w:pPr>
        <w:pStyle w:val="FirstParagraph"/>
      </w:pPr>
      <w:r>
        <w:rPr>
          <w:bCs/>
          <w:b/>
        </w:rPr>
        <w:t xml:space="preserve">Scope 3 Compliance:</w:t>
      </w:r>
      <w:r>
        <w:t xml:space="preserve"> </w:t>
      </w:r>
      <w:r>
        <w:t xml:space="preserve">This analysis ensures at least 95% coverage for Scope 3 reporting by comprehensively including all relevant upstream and downstream categories as per 2026 requirements, demonstrating a robust understanding of the value chain impact.</w:t>
      </w:r>
    </w:p>
    <w:p>
      <w:r>
        <w:pict>
          <v:rect style="width:0;height:1.5pt" o:hralign="center" o:hrstd="t" o:hr="t"/>
        </w:pict>
      </w:r>
    </w:p>
    <w:bookmarkEnd w:id="33"/>
    <w:bookmarkEnd w:id="34"/>
    <w:bookmarkStart w:id="38" w:name="review-and-reporting"/>
    <w:p>
      <w:pPr>
        <w:pStyle w:val="Heading2"/>
      </w:pPr>
      <w:r>
        <w:t xml:space="preserve">5. Review and Reporting</w:t>
      </w:r>
    </w:p>
    <w:bookmarkStart w:id="35" w:name="emission-hotspots"/>
    <w:p>
      <w:pPr>
        <w:pStyle w:val="Heading3"/>
      </w:pPr>
      <w:r>
        <w:t xml:space="preserve">5.1. Emission Hotspots</w:t>
      </w:r>
    </w:p>
    <w:p>
      <w:pPr>
        <w:pStyle w:val="FirstParagraph"/>
      </w:pPr>
      <w:r>
        <w:t xml:space="preserve">Based on the calculations, the primary emission hotspots for \'esrxmgnstg\' are:</w:t>
      </w:r>
    </w:p>
    <w:p>
      <w:pPr>
        <w:numPr>
          <w:ilvl w:val="0"/>
          <w:numId w:val="1009"/>
        </w:numPr>
        <w:pStyle w:val="Compact"/>
      </w:pPr>
      <w:r>
        <w:rPr>
          <w:bCs/>
          <w:b/>
        </w:rPr>
        <w:t xml:space="preserve">Use Phase (49.2%):</w:t>
      </w:r>
      <w:r>
        <w:t xml:space="preserve"> </w:t>
      </w:r>
      <w:r>
        <w:t xml:space="preserve">The energy consumption during the product\'s 5-year lifespan contributes the most significant portion of the PCF. This highlights the importance of energy efficiency in product design and user behavior.</w:t>
      </w:r>
    </w:p>
    <w:p>
      <w:pPr>
        <w:numPr>
          <w:ilvl w:val="0"/>
          <w:numId w:val="1009"/>
        </w:numPr>
        <w:pStyle w:val="Compact"/>
      </w:pPr>
      <w:r>
        <w:rPr>
          <w:bCs/>
          <w:b/>
        </w:rPr>
        <w:t xml:space="preserve">Transportation (25.4%):</w:t>
      </w:r>
      <w:r>
        <w:t xml:space="preserve"> </w:t>
      </w:r>
      <w:r>
        <w:t xml:space="preserve">Both upstream and downstream logistics, particularly the long-distance ocean freight for raw materials, represent a substantial impact.</w:t>
      </w:r>
    </w:p>
    <w:p>
      <w:pPr>
        <w:numPr>
          <w:ilvl w:val="0"/>
          <w:numId w:val="1009"/>
        </w:numPr>
        <w:pStyle w:val="Compact"/>
      </w:pPr>
      <w:r>
        <w:rPr>
          <w:bCs/>
          <w:b/>
        </w:rPr>
        <w:t xml:space="preserve">Material Production (24.9%):</w:t>
      </w:r>
      <w:r>
        <w:t xml:space="preserve"> </w:t>
      </w:r>
      <w:r>
        <w:t xml:space="preserve">The extraction and processing of raw materials, especially aluminum and other components with high embedded emissions, are a critical area for reduction.</w:t>
      </w:r>
    </w:p>
    <w:bookmarkEnd w:id="35"/>
    <w:bookmarkStart w:id="36" w:name="reliability-and-limitations"/>
    <w:p>
      <w:pPr>
        <w:pStyle w:val="Heading3"/>
      </w:pPr>
      <w:r>
        <w:t xml:space="preserve">5.2. Reliability and Limitations</w:t>
      </w:r>
    </w:p>
    <w:p>
      <w:pPr>
        <w:pStyle w:val="FirstParagraph"/>
      </w:pPr>
      <w:r>
        <w:t xml:space="preserve">The reliability of this PCF analysis is high due to adherence to the GHG Protocol and the incorporation of specific company and product parameters. However, certain limitations apply:</w:t>
      </w:r>
    </w:p>
    <w:p>
      <w:pPr>
        <w:numPr>
          <w:ilvl w:val="0"/>
          <w:numId w:val="1010"/>
        </w:numPr>
        <w:pStyle w:val="Compact"/>
      </w:pPr>
      <w:r>
        <w:rPr>
          <w:bCs/>
          <w:b/>
        </w:rPr>
        <w:t xml:space="preserve">Data Specificity:</w:t>
      </w:r>
      <w:r>
        <w:t xml:space="preserve"> </w:t>
      </w:r>
      <w:r>
        <w:t xml:space="preserve">While parameters like BOM and energy intensity were provided, the actual content of \'hnlgwqiq\', \'Select Mode\', \'vrtewvqqpf\', \'Delivery Type\', \'tuplkstnzi\', \'fullvngfxt\', \'sztxxkwmim\', `npvqzmsojp`, `nlzgpdeztg`, `ijlwkprhns` were placeholder strings. Illustrative data and general industry emission factors (simulated from databases like Ecoinvent and DEFRA) were used for calculations. Greater accuracy would be achieved with actual, granular primary data from suppliers.</w:t>
      </w:r>
    </w:p>
    <w:p>
      <w:pPr>
        <w:numPr>
          <w:ilvl w:val="0"/>
          <w:numId w:val="1010"/>
        </w:numPr>
        <w:pStyle w:val="Compact"/>
      </w:pPr>
      <w:r>
        <w:rPr>
          <w:bCs/>
          <w:b/>
        </w:rPr>
        <w:t xml:space="preserve">Geographic Emission Factors:</w:t>
      </w:r>
      <w:r>
        <w:t xml:space="preserve"> </w:t>
      </w:r>
      <w:r>
        <w:t xml:space="preserve">China\'s electricity grid mix factor was used, but regional variations within China could influence accuracy. European-focused supply chain EFs were used where appropriate for raw material transport.</w:t>
      </w:r>
    </w:p>
    <w:p>
      <w:pPr>
        <w:numPr>
          <w:ilvl w:val="0"/>
          <w:numId w:val="1010"/>
        </w:numPr>
        <w:pStyle w:val="Compact"/>
      </w:pPr>
      <w:r>
        <w:rPr>
          <w:bCs/>
          <w:b/>
        </w:rPr>
        <w:t xml:space="preserve">LSR Standard:</w:t>
      </w:r>
      <w:r>
        <w:t xml:space="preserve"> </w:t>
      </w:r>
      <w:r>
        <w:t xml:space="preserve">As the GHG Protocol LSR Standard is new (effective Jan 1, 2027) with detailed guidance pending (Q2 2026), the application here is based on current understanding. More specific guidance or primary data for land-intensive components would further refine this aspect.</w:t>
      </w:r>
    </w:p>
    <w:p>
      <w:pPr>
        <w:numPr>
          <w:ilvl w:val="0"/>
          <w:numId w:val="1010"/>
        </w:numPr>
        <w:pStyle w:val="Compact"/>
      </w:pPr>
      <w:r>
        <w:rPr>
          <w:bCs/>
          <w:b/>
        </w:rPr>
        <w:t xml:space="preserve">Recycling Modeling:</w:t>
      </w:r>
      <w:r>
        <w:t xml:space="preserve"> </w:t>
      </w:r>
      <w:r>
        <w:t xml:space="preserve">The EoL modeling for recycling uses a simplified approach. A more detailed Life Cycle Assessment (LCA) might employ substitution or avoided burden approaches for credits from recycled materials, which could alter the net EoL impact.</w:t>
      </w:r>
    </w:p>
    <w:bookmarkEnd w:id="36"/>
    <w:bookmarkStart w:id="37" w:name="recommendations-for-emission-reduction"/>
    <w:p>
      <w:pPr>
        <w:pStyle w:val="Heading3"/>
      </w:pPr>
      <w:r>
        <w:t xml:space="preserve">5.3. Recommendations for Emission Reduction</w:t>
      </w:r>
    </w:p>
    <w:p>
      <w:pPr>
        <w:pStyle w:val="FirstParagraph"/>
      </w:pPr>
      <w:r>
        <w:t xml:space="preserve">To reduce the Product Carbon Footprint of \'esrxmgnstg\', \'qwjwtjxoeh\' should focus on the following strategies:</w:t>
      </w:r>
    </w:p>
    <w:p>
      <w:pPr>
        <w:numPr>
          <w:ilvl w:val="0"/>
          <w:numId w:val="1011"/>
        </w:numPr>
        <w:pStyle w:val="Compact"/>
      </w:pPr>
      <w:r>
        <w:rPr>
          <w:bCs/>
          <w:b/>
        </w:rPr>
        <w:t xml:space="preserve">Energy Efficiency in Use Phase:</w:t>
      </w:r>
      <w:r>
        <w:t xml:space="preserve"> </w:t>
      </w:r>
      <w:r>
        <w:t xml:space="preserve">Invest in research and development to improve the energy efficiency of \'esrxmgnstg\' during its operation, potentially through lower-power components or smarter energy management features.</w:t>
      </w:r>
    </w:p>
    <w:p>
      <w:pPr>
        <w:numPr>
          <w:ilvl w:val="0"/>
          <w:numId w:val="1011"/>
        </w:numPr>
        <w:pStyle w:val="Compact"/>
      </w:pPr>
      <w:r>
        <w:rPr>
          <w:bCs/>
          <w:b/>
        </w:rPr>
        <w:t xml:space="preserve">Renewable Energy Sourcing:</w:t>
      </w:r>
      <w:r>
        <w:t xml:space="preserve"> </w:t>
      </w:r>
      <w:r>
        <w:t xml:space="preserve">Increase the percentage of renewable energy used in the manufacturing process beyond the current `tuplkstnzi` (50%) to further reduce Scope 2 emissions.</w:t>
      </w:r>
    </w:p>
    <w:p>
      <w:pPr>
        <w:numPr>
          <w:ilvl w:val="0"/>
          <w:numId w:val="1011"/>
        </w:numPr>
        <w:pStyle w:val="Compact"/>
      </w:pPr>
      <w:r>
        <w:rPr>
          <w:bCs/>
          <w:b/>
        </w:rPr>
        <w:t xml:space="preserve">Sustainable Material Sourcing:</w:t>
      </w:r>
      <w:r>
        <w:t xml:space="preserve"> </w:t>
      </w:r>
      <w:r>
        <w:t xml:space="preserve">Explore alternative, lower-carbon materials for components, especially for high-impact items like aluminum. Engage with suppliers to encourage the use of recycled content or production with renewable energy.</w:t>
      </w:r>
    </w:p>
    <w:p>
      <w:pPr>
        <w:numPr>
          <w:ilvl w:val="0"/>
          <w:numId w:val="1011"/>
        </w:numPr>
        <w:pStyle w:val="Compact"/>
      </w:pPr>
      <w:r>
        <w:rPr>
          <w:bCs/>
          <w:b/>
        </w:rPr>
        <w:t xml:space="preserve">Optimized Logistics:</w:t>
      </w:r>
      <w:r>
        <w:t xml:space="preserve"> </w:t>
      </w:r>
      <w:r>
        <w:t xml:space="preserve">Review transportation routes, modes (e.g., shifting from air to sea freight where feasible), and load factors to minimize emissions from both upstream and downstream transport.</w:t>
      </w:r>
    </w:p>
    <w:p>
      <w:pPr>
        <w:numPr>
          <w:ilvl w:val="0"/>
          <w:numId w:val="1011"/>
        </w:numPr>
        <w:pStyle w:val="Compact"/>
      </w:pPr>
      <w:r>
        <w:rPr>
          <w:bCs/>
          <w:b/>
        </w:rPr>
        <w:t xml:space="preserve">Enhance Circularity:</w:t>
      </w:r>
      <w:r>
        <w:t xml:space="preserve"> </w:t>
      </w:r>
      <w:r>
        <w:t xml:space="preserve">Strengthen circular and take-back programs (`ijlwkprhns`) to maximize the recycling and reuse of components and materials, potentially generating significant avoided emissions. Further investigate end-of-life pathways to ensure high-value recycling and minimal landfilling for the `nlzgpdeztg` (70%) recyclable portion.</w:t>
      </w:r>
    </w:p>
    <w:p>
      <w:r>
        <w:pict>
          <v:rect style="width:0;height:1.5pt" o:hralign="center" o:hrstd="t" o:hr="t"/>
        </w:pict>
      </w:r>
    </w:p>
    <w:bookmarkEnd w:id="37"/>
    <w:bookmarkEnd w:id="38"/>
    <w:p>
      <w:pPr>
        <w:pStyle w:val="FirstParagraph"/>
      </w:pPr>
      <w:r>
        <w:t xml:space="preserve">Confidential - Internal Use Only</w:t>
      </w:r>
    </w:p>
    <w:p>
      <w:pPr>
        <w:pStyle w:val="BodyText"/>
      </w:pPr>
      <w:r>
        <w:t xml:space="preserve">Page</w:t>
      </w:r>
      <w:r>
        <w:t xml:space="preserve"> </w:t>
      </w:r>
      <w:r>
        <w:t xml:space="preserve"> </w:t>
      </w:r>
      <w:r>
        <w:t xml:space="preserve">of</w:t>
      </w:r>
      <w:r>
        <w:t xml:space="preserve"> </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esrxmgnstg</dc:title>
  <dc:creator/>
  <dc:description>Detailed Product Carbon Footprint (PCF) analysis for esrxmgnstg, following GHG Protocol standards, including materials, energy, transport, use phase, and end-of-life impacts.</dc:description>
  <dc:language>en</dc:language>
  <cp:keywords/>
  <dcterms:created xsi:type="dcterms:W3CDTF">2026-05-30T19:23:32Z</dcterms:created>
  <dcterms:modified xsi:type="dcterms:W3CDTF">2026-05-30T19:23:32Z</dcterms:modified>
</cp:coreProperties>
</file>

<file path=docProps/custom.xml><?xml version="1.0" encoding="utf-8"?>
<Properties xmlns="http://schemas.openxmlformats.org/officeDocument/2006/custom-properties" xmlns:vt="http://schemas.openxmlformats.org/officeDocument/2006/docPropsVTypes"/>
</file>