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esqittwpmy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esqittwpmy</w:t>
      </w:r>
    </w:p>
    <w:p>
      <w:pPr>
        <w:pStyle w:val="BodyText"/>
      </w:pPr>
      <w:r>
        <w:rPr>
          <w:bCs/>
          <w:b/>
        </w:rPr>
        <w:t xml:space="preserve">Company:</w:t>
      </w:r>
      <w:r>
        <w:t xml:space="preserve"> </w:t>
      </w:r>
      <w:r>
        <w:t xml:space="preserve">mhlumgofph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oexvlsuwsn</w:t>
      </w:r>
    </w:p>
    <w:p>
      <w:pPr>
        <w:pStyle w:val="BodyText"/>
      </w:pPr>
      <w:r>
        <w:rPr>
          <w:iCs/>
          <w:i/>
        </w:rPr>
        <w:t xml:space="preserve">Disclaimer: This report is generated based on available data and industry standards. While every effort has been made to ensure accuracy, actual emissions may vary depending on data precision and evolving methodologies. This analysis serves as a comprehensive guide for identifying environmental impacts.</w:t>
      </w:r>
    </w:p>
    <w:bookmarkEnd w:id="20"/>
    <w:p>
      <w:pPr>
        <w:pStyle w:val="BodyText"/>
      </w:pPr>
      <w:r>
        <w:t xml:space="preserve">Generated Date: May 20, 2026</w:t>
      </w:r>
    </w:p>
    <w:bookmarkStart w:id="42" w:name="X512521ac52d187b397c6d01f9d995ea7b27c717"/>
    <w:p>
      <w:pPr>
        <w:pStyle w:val="Heading1"/>
      </w:pPr>
      <w:r>
        <w:t xml:space="preserve">Product Carbon Footprint Analysis for esqittwpmy</w:t>
      </w:r>
    </w:p>
    <w:p>
      <w:pPr>
        <w:pStyle w:val="FirstParagraph"/>
      </w:pPr>
      <w:r>
        <w:rPr>
          <w:bCs/>
          <w:b/>
        </w:rPr>
        <w:t xml:space="preserve">Senior Sustainability Consultant:</w:t>
      </w:r>
      <w:r>
        <w:t xml:space="preserve"> </w:t>
      </w:r>
      <w:r>
        <w:t xml:space="preserve">oexvlsuwsn</w:t>
      </w:r>
    </w:p>
    <w:p>
      <w:pPr>
        <w:pStyle w:val="BodyText"/>
      </w:pPr>
      <w:r>
        <w:t xml:space="preserve">This report presents a high-detail Product Carbon Footprint (PCF) analysis for the product "esqittwpmy" manufactured by "mhlumgofph". The analysis adheres strictly to the GHG Protocol standards, incorporating the latest 2026 Land Sector and Removals (LSR) Standard and ensuring robust Scope 3 reporting compliance. The primary objective is to quantify the greenhouse gas (GHG) emissions associated with the product\'s entire lifecycle, identify emission hotspots, and provide actionable insights for sustainability improvements.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report for esqittwpmy, developed for mhlumgofph by Senior Sustainability Consultant oexvlsuwsn, provides a comprehensive assessment of the product\'s environmental impact across its lifecycle. Utilizing the GHG Protocol as the accounting standard, the analysis integrates detailed Bill of Materials, specific logistics, energy consumption data, and end-of-life scenarios. The study highlights key emission sources, with particular attention to material acquisition, manufacturing, transportation, use phase, and end-of-life stages. This report serves as a foundational step for mhlumgofph to identify opportunities for reducing its carbon footprint and advancing its sustainability objectives.</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PCF analysis for esqittwpmy was conducted following a five-step methodology in strict accordance with the GHG Protocol, ensuring a systematic and transparent approach to emission quantification.</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esqittwpmy, representing the product\'s quantified performance in its intended application.</w:t>
      </w:r>
    </w:p>
    <w:p>
      <w:pPr>
        <w:numPr>
          <w:ilvl w:val="0"/>
          <w:numId w:val="1001"/>
        </w:numPr>
        <w:pStyle w:val="Compact"/>
      </w:pPr>
      <w:r>
        <w:rPr>
          <w:bCs/>
          <w:b/>
        </w:rPr>
        <w:t xml:space="preserve">System Boundary:</w:t>
      </w:r>
      <w:r>
        <w:t xml:space="preserve"> </w:t>
      </w:r>
      <w:r>
        <w:t xml:space="preserve">The system boundary adopted is</w:t>
      </w:r>
      <w:r>
        <w:t xml:space="preserve"> </w:t>
      </w:r>
      <w:r>
        <w:rPr>
          <w:bCs/>
          <w:b/>
        </w:rPr>
        <w:t xml:space="preserve">factory_gate</w:t>
      </w:r>
      <w:r>
        <w:t xml:space="preserve">, encompassing all processes from raw material extraction through manufacturing, up to the point the product leaves the factory. This includes material acquisition, manufacturing processes, and inbound logistics. Emissions from the use phase and end-of-life are also included as per GHG Protocol Scope 3 requirements.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 specific</w:t>
      </w:r>
      <w:r>
        <w:t xml:space="preserve"> </w:t>
      </w:r>
      <w:r>
        <w:rPr>
          <w:bCs/>
          <w:b/>
        </w:rPr>
        <w:t xml:space="preserve">Supply Chain Focus on Europe</w:t>
      </w:r>
      <w:r>
        <w:t xml:space="preserve"> </w:t>
      </w:r>
      <w:r>
        <w:t xml:space="preserve">for sourcing and transportation. This dual focus allows for regionalized emission factors and transport data application.</w:t>
      </w:r>
    </w:p>
    <w:p>
      <w:pPr>
        <w:numPr>
          <w:ilvl w:val="0"/>
          <w:numId w:val="1001"/>
        </w:numPr>
        <w:pStyle w:val="Compact"/>
      </w:pPr>
      <w:r>
        <w:rPr>
          <w:bCs/>
          <w:b/>
        </w:rPr>
        <w:t xml:space="preserve">Allocation:</w:t>
      </w:r>
      <w:r>
        <w:t xml:space="preserve"> </w:t>
      </w:r>
      <w:r>
        <w:t xml:space="preserve">Where co-products or by-products exist, emissions are allocated based on established GHG Protocol guidance, typically by mass or economic value, to ensure a fair representation of the product\'s share of environmental impact.</w:t>
      </w:r>
    </w:p>
    <w:bookmarkEnd w:id="22"/>
    <w:bookmarkStart w:id="23" w:name="map-lifecycle-lci-inventory-stages"/>
    <w:p>
      <w:pPr>
        <w:pStyle w:val="Heading3"/>
      </w:pPr>
      <w:r>
        <w:t xml:space="preserve">2.2. Map Lifecycle (LCI Inventory Stages)</w:t>
      </w:r>
    </w:p>
    <w:p>
      <w:pPr>
        <w:pStyle w:val="FirstParagraph"/>
      </w:pPr>
      <w:r>
        <w:t xml:space="preserve">The lifecycle of esqittwpmy has been mapped into the following stages, facilitating the collection of relevant inventory data:</w:t>
      </w:r>
    </w:p>
    <w:p>
      <w:pPr>
        <w:numPr>
          <w:ilvl w:val="0"/>
          <w:numId w:val="1002"/>
        </w:numPr>
        <w:pStyle w:val="Compact"/>
      </w:pPr>
      <w:r>
        <w:rPr>
          <w:bCs/>
          <w:b/>
        </w:rPr>
        <w:t xml:space="preserve">Raw Material Acquisition &amp; Pre-processing:</w:t>
      </w:r>
      <w:r>
        <w:t xml:space="preserve"> </w:t>
      </w:r>
      <w:r>
        <w:t xml:space="preserve">Extraction, processing, and refining of all constituent materials.</w:t>
      </w:r>
    </w:p>
    <w:p>
      <w:pPr>
        <w:numPr>
          <w:ilvl w:val="0"/>
          <w:numId w:val="1002"/>
        </w:numPr>
        <w:pStyle w:val="Compact"/>
      </w:pPr>
      <w:r>
        <w:rPr>
          <w:bCs/>
          <w:b/>
        </w:rPr>
        <w:t xml:space="preserve">Manufacturing (Production):</w:t>
      </w:r>
      <w:r>
        <w:t xml:space="preserve"> </w:t>
      </w:r>
      <w:r>
        <w:t xml:space="preserve">All processes within the factory, including energy consumption, waste generation, and direct emissions.</w:t>
      </w:r>
    </w:p>
    <w:p>
      <w:pPr>
        <w:numPr>
          <w:ilvl w:val="0"/>
          <w:numId w:val="1002"/>
        </w:numPr>
        <w:pStyle w:val="Compact"/>
      </w:pPr>
      <w:r>
        <w:rPr>
          <w:bCs/>
          <w:b/>
        </w:rPr>
        <w:t xml:space="preserve">Transportation (Inbound &amp; Outbound):</w:t>
      </w:r>
      <w:r>
        <w:t xml:space="preserve"> </w:t>
      </w:r>
      <w:r>
        <w:t xml:space="preserve">Logistics from suppliers to the factory (inbound) and from the factory to the end-user (outbound, including last-mile).</w:t>
      </w:r>
    </w:p>
    <w:p>
      <w:pPr>
        <w:numPr>
          <w:ilvl w:val="0"/>
          <w:numId w:val="1002"/>
        </w:numPr>
        <w:pStyle w:val="Compact"/>
      </w:pPr>
      <w:r>
        <w:rPr>
          <w:bCs/>
          <w:b/>
        </w:rPr>
        <w:t xml:space="preserve">Use Phase:</w:t>
      </w:r>
      <w:r>
        <w:t xml:space="preserve"> </w:t>
      </w:r>
      <w:r>
        <w:t xml:space="preserve">Energy consumption and other impacts during the product\'s operational life.</w:t>
      </w:r>
    </w:p>
    <w:p>
      <w:pPr>
        <w:numPr>
          <w:ilvl w:val="0"/>
          <w:numId w:val="1002"/>
        </w:numPr>
        <w:pStyle w:val="Compact"/>
      </w:pPr>
      <w:r>
        <w:rPr>
          <w:bCs/>
          <w:b/>
        </w:rPr>
        <w:t xml:space="preserve">End-of-Life:</w:t>
      </w:r>
      <w:r>
        <w:t xml:space="preserve"> </w:t>
      </w:r>
      <w:r>
        <w:t xml:space="preserve">Disposal, recycling, and recovery processes at the end of the product\'s lifespan.</w:t>
      </w:r>
    </w:p>
    <w:bookmarkEnd w:id="23"/>
    <w:bookmarkStart w:id="24" w:name="Xb57f50a89bf1f3f1837369be949d9d60d6c1272"/>
    <w:p>
      <w:pPr>
        <w:pStyle w:val="Heading3"/>
      </w:pPr>
      <w:r>
        <w:t xml:space="preserve">2.3. Collect Data (Primary/Secondary Data Points)</w:t>
      </w:r>
    </w:p>
    <w:p>
      <w:pPr>
        <w:pStyle w:val="FirstParagraph"/>
      </w:pPr>
      <w:r>
        <w:t xml:space="preserve">Data collection involved a combination of primary and secondary data points:</w:t>
      </w:r>
    </w:p>
    <w:p>
      <w:pPr>
        <w:numPr>
          <w:ilvl w:val="0"/>
          <w:numId w:val="1003"/>
        </w:numPr>
        <w:pStyle w:val="Compact"/>
      </w:pPr>
      <w:r>
        <w:rPr>
          <w:bCs/>
          <w:b/>
        </w:rPr>
        <w:t xml:space="preserve">Primary Data:</w:t>
      </w:r>
      <w:r>
        <w:t xml:space="preserve"> </w:t>
      </w:r>
      <w:r>
        <w:t xml:space="preserve">Direct information from mhlumgofph regarding production processes, energy consumption, and specific Bill of Materials (BOM) for esqittwpmy. This includes:</w:t>
      </w:r>
    </w:p>
    <w:p>
      <w:pPr>
        <w:numPr>
          <w:ilvl w:val="1"/>
          <w:numId w:val="1004"/>
        </w:numPr>
        <w:pStyle w:val="Compact"/>
      </w:pPr>
      <w:r>
        <w:rPr>
          <w:bCs/>
          <w:b/>
        </w:rPr>
        <w:t xml:space="preserve">Detailed Bill of Materials (BOM):</w:t>
      </w:r>
      <w:r>
        <w:t xml:space="preserve"> </w:t>
      </w:r>
      <w:r>
        <w:t xml:space="preserve">qkyoegtz (e.g., specific material quantities, processes).</w:t>
      </w:r>
    </w:p>
    <w:p>
      <w:pPr>
        <w:numPr>
          <w:ilvl w:val="1"/>
          <w:numId w:val="1004"/>
        </w:numPr>
        <w:pStyle w:val="Compact"/>
      </w:pPr>
      <w:r>
        <w:rPr>
          <w:bCs/>
          <w:b/>
        </w:rPr>
        <w:t xml:space="preserve">Renewable Energy Usage:</w:t>
      </w:r>
      <w:r>
        <w:t xml:space="preserve"> </w:t>
      </w:r>
      <w:r>
        <w:t xml:space="preserve">drevldhjzh (percentage or absolute consumption).</w:t>
      </w:r>
    </w:p>
    <w:p>
      <w:pPr>
        <w:numPr>
          <w:ilvl w:val="1"/>
          <w:numId w:val="1004"/>
        </w:numPr>
        <w:pStyle w:val="Compact"/>
      </w:pPr>
      <w:r>
        <w:rPr>
          <w:bCs/>
          <w:b/>
        </w:rPr>
        <w:t xml:space="preserve">Energy Intensity (kWh/unit):</w:t>
      </w:r>
      <w:r>
        <w:t xml:space="preserve"> </w:t>
      </w:r>
      <w:r>
        <w:t xml:space="preserve">pjjkplwygf (per unit of product).</w:t>
      </w:r>
    </w:p>
    <w:p>
      <w:pPr>
        <w:numPr>
          <w:ilvl w:val="1"/>
          <w:numId w:val="1004"/>
        </w:numPr>
        <w:pStyle w:val="Compact"/>
      </w:pPr>
      <w:r>
        <w:rPr>
          <w:bCs/>
          <w:b/>
        </w:rPr>
        <w:t xml:space="preserve">Product Lifespan:</w:t>
      </w:r>
      <w:r>
        <w:t xml:space="preserve"> </w:t>
      </w:r>
      <w:r>
        <w:t xml:space="preserve">zfljzkvwnf.</w:t>
      </w:r>
    </w:p>
    <w:p>
      <w:pPr>
        <w:numPr>
          <w:ilvl w:val="1"/>
          <w:numId w:val="1004"/>
        </w:numPr>
        <w:pStyle w:val="Compact"/>
      </w:pPr>
      <w:r>
        <w:rPr>
          <w:bCs/>
          <w:b/>
        </w:rPr>
        <w:t xml:space="preserve">Energy Consumption in Use:</w:t>
      </w:r>
      <w:r>
        <w:t xml:space="preserve"> </w:t>
      </w:r>
      <w:r>
        <w:t xml:space="preserve">kglmdxrieh.</w:t>
      </w:r>
    </w:p>
    <w:p>
      <w:pPr>
        <w:numPr>
          <w:ilvl w:val="1"/>
          <w:numId w:val="1004"/>
        </w:numPr>
        <w:pStyle w:val="Compact"/>
      </w:pPr>
      <w:r>
        <w:rPr>
          <w:bCs/>
          <w:b/>
        </w:rPr>
        <w:t xml:space="preserve">Recyclability Percentage:</w:t>
      </w:r>
      <w:r>
        <w:t xml:space="preserve"> </w:t>
      </w:r>
      <w:r>
        <w:t xml:space="preserve">khpdhrszlx.</w:t>
      </w:r>
    </w:p>
    <w:p>
      <w:pPr>
        <w:numPr>
          <w:ilvl w:val="1"/>
          <w:numId w:val="1004"/>
        </w:numPr>
        <w:pStyle w:val="Compact"/>
      </w:pPr>
      <w:r>
        <w:rPr>
          <w:bCs/>
          <w:b/>
        </w:rPr>
        <w:t xml:space="preserve">Circular/Take-back Programs:</w:t>
      </w:r>
      <w:r>
        <w:t xml:space="preserve"> </w:t>
      </w:r>
      <w:r>
        <w:t xml:space="preserve">ngpwdnjski (description and impact).</w:t>
      </w:r>
    </w:p>
    <w:p>
      <w:pPr>
        <w:numPr>
          <w:ilvl w:val="0"/>
          <w:numId w:val="1003"/>
        </w:numPr>
        <w:pStyle w:val="Compact"/>
      </w:pPr>
      <w:r>
        <w:rPr>
          <w:bCs/>
          <w:b/>
        </w:rPr>
        <w:t xml:space="preserve">Secondary Data:</w:t>
      </w:r>
      <w:r>
        <w:t xml:space="preserve"> </w:t>
      </w:r>
      <w:r>
        <w:t xml:space="preserve">Industry-average data and emission factors from reputable databases such as Ecoinvent and DEFRA for generic materials, energy grids, and transport modes where primary data was unavailable or to supplement existing data.</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energy, tkm of transport) by their corresponding GHG emission factors. All calculations are expressed in tonnes of CO2 equivalent (tCO2e).</w:t>
      </w:r>
    </w:p>
    <w:bookmarkEnd w:id="25"/>
    <w:bookmarkStart w:id="26" w:name="review-report-hotspots-and-reliability"/>
    <w:p>
      <w:pPr>
        <w:pStyle w:val="Heading3"/>
      </w:pPr>
      <w:r>
        <w:t xml:space="preserve">2.5. Review &amp; Report (Hotspots and Reliability)</w:t>
      </w:r>
    </w:p>
    <w:p>
      <w:pPr>
        <w:pStyle w:val="FirstParagraph"/>
      </w:pPr>
      <w:r>
        <w:t xml:space="preserve">The final stage involved reviewing the calculated results, identifying major emission hotspots across the product lifecycle, and assessing the overall data reliability and completeness. Recommendations for improvement and further data collection are provided.</w:t>
      </w:r>
    </w:p>
    <w:p>
      <w:r>
        <w:pict>
          <v:rect style="width:0;height:1.5pt" o:hralign="center" o:hrstd="t" o:hr="t"/>
        </w:pict>
      </w:r>
    </w:p>
    <w:bookmarkEnd w:id="26"/>
    <w:bookmarkEnd w:id="27"/>
    <w:bookmarkStart w:id="30" w:name="ghg-protocol-adherence-and-2026-updates"/>
    <w:p>
      <w:pPr>
        <w:pStyle w:val="Heading2"/>
      </w:pPr>
      <w:r>
        <w:t xml:space="preserve">3. GHG Protocol Adherence and 2026 Updates</w:t>
      </w:r>
    </w:p>
    <w:p>
      <w:pPr>
        <w:pStyle w:val="FirstParagraph"/>
      </w:pPr>
      <w:r>
        <w:t xml:space="preserve">This PCF analysis adheres strictly to the GHG Protocol\'s Corporate Accounting and Reporting Standard. Emissions are categorized as follows:</w:t>
      </w:r>
    </w:p>
    <w:p>
      <w:pPr>
        <w:numPr>
          <w:ilvl w:val="0"/>
          <w:numId w:val="1005"/>
        </w:numPr>
        <w:pStyle w:val="Compact"/>
      </w:pPr>
      <w:r>
        <w:rPr>
          <w:bCs/>
          <w:b/>
        </w:rPr>
        <w:t xml:space="preserve">Scope 1 (Direct Emissions):</w:t>
      </w:r>
      <w:r>
        <w:t xml:space="preserve"> </w:t>
      </w:r>
      <w:r>
        <w:t xml:space="preserve">Emissions from sources owned or controlled by mhlumgofph (e.g., on-site fuel combustion).</w:t>
      </w:r>
    </w:p>
    <w:p>
      <w:pPr>
        <w:numPr>
          <w:ilvl w:val="0"/>
          <w:numId w:val="1005"/>
        </w:numPr>
        <w:pStyle w:val="Compact"/>
      </w:pPr>
      <w:r>
        <w:rPr>
          <w:bCs/>
          <w:b/>
        </w:rPr>
        <w:t xml:space="preserve">Scope 2 (Energy Indirect Emissions):</w:t>
      </w:r>
      <w:r>
        <w:t xml:space="preserve"> </w:t>
      </w:r>
      <w:r>
        <w:t xml:space="preserve">Emissions from the generation of purchased electricity, heating, or cooling consumed by mhlumgofph.</w:t>
      </w:r>
    </w:p>
    <w:p>
      <w:pPr>
        <w:numPr>
          <w:ilvl w:val="0"/>
          <w:numId w:val="1005"/>
        </w:numPr>
        <w:pStyle w:val="Compact"/>
      </w:pPr>
      <w:r>
        <w:rPr>
          <w:bCs/>
          <w:b/>
        </w:rPr>
        <w:t xml:space="preserve">Scope 3 (Other Indirect Emissions):</w:t>
      </w:r>
      <w:r>
        <w:t xml:space="preserve"> </w:t>
      </w:r>
      <w:r>
        <w:t xml:space="preserve">All other indirect emissions that occur in the value chain of mhlumgofph, both upstream and downstream. This includes purchased goods and services, capital goods, fuel- and energy-related activities (not in Scope 1 or 2), upstream transportation and distribution, waste generated in operations, business travel, employee commuting, downstream transportation and distribution, processing of sold products, use of sold products, end-of-life treatment of sold products, leased assets, franchises, and investments.</w:t>
      </w:r>
    </w:p>
    <w:bookmarkStart w:id="28" w:name="land-sector-and-removals-lsr-standard"/>
    <w:p>
      <w:pPr>
        <w:pStyle w:val="Heading3"/>
      </w:pPr>
      <w:r>
        <w:t xml:space="preserve">3.1. 2026 Land Sector and Removals (LSR) Standard</w:t>
      </w:r>
    </w:p>
    <w:p>
      <w:pPr>
        <w:pStyle w:val="FirstParagraph"/>
      </w:pPr>
      <w:r>
        <w:t xml:space="preserve">In line with the 2026 GHG Protocol Land Sector and Removals (LSR) Standard, this report acknowledges and, where data permits, accounts for land use and carbon removals. While specific quantification of land use change emissions or biogenic carbon sequestration requires highly detailed data not fully provided, the analysis structure allows for its integration. Future iterations will further refine this aspect as more specific data becomes available for esqittwpmy\'s supply chain.</w:t>
      </w:r>
    </w:p>
    <w:bookmarkEnd w:id="28"/>
    <w:bookmarkStart w:id="29" w:name="scope-3-compliance"/>
    <w:p>
      <w:pPr>
        <w:pStyle w:val="Heading3"/>
      </w:pPr>
      <w:r>
        <w:t xml:space="preserve">3.2. Scope 3 Compliance</w:t>
      </w:r>
    </w:p>
    <w:p>
      <w:pPr>
        <w:pStyle w:val="FirstParagraph"/>
      </w:pPr>
      <w:r>
        <w:t xml:space="preserve">A significant effort has been made to ensure comprehensive Scope 3 reporting. As per 2026 requirements, this analysis aims for at least</w:t>
      </w:r>
      <w:r>
        <w:t xml:space="preserve"> </w:t>
      </w:r>
      <w:r>
        <w:rPr>
          <w:bCs/>
          <w:b/>
        </w:rPr>
        <w:t xml:space="preserve">95% coverage for Scope 3 emissions</w:t>
      </w:r>
      <w:r>
        <w:t xml:space="preserve">, incorporating data across all relevant upstream and downstream categories to provide a holistic view of the product\'s value chain impact. This includes detailed consideration of raw materials, transportation, use-phase energy, and end-of-life scenarios.</w:t>
      </w:r>
    </w:p>
    <w:p>
      <w:r>
        <w:pict>
          <v:rect style="width:0;height:1.5pt" o:hralign="center" o:hrstd="t" o:hr="t"/>
        </w:pict>
      </w:r>
    </w:p>
    <w:bookmarkEnd w:id="29"/>
    <w:bookmarkEnd w:id="30"/>
    <w:bookmarkStart w:id="37" w:name="X49ce2b6d9dbe0297823085d0445282bb1fc60f9"/>
    <w:p>
      <w:pPr>
        <w:pStyle w:val="Heading2"/>
      </w:pPr>
      <w:r>
        <w:t xml:space="preserve">4. Detailed Lifecycle Inventory and Emission Calculation</w:t>
      </w:r>
    </w:p>
    <w:p>
      <w:pPr>
        <w:pStyle w:val="FirstParagraph"/>
      </w:pPr>
      <w:r>
        <w:t xml:space="preserve">This section provides a detailed breakdown of materials, energy inputs, and logistics data used in the PCF calculation for esqittwpmy. Due to the placeholder nature of some input parameters, illustrative examples are provided to demonstrate the methodology. Actual calculations would utilize the precise numerical data.</w:t>
      </w:r>
    </w:p>
    <w:bookmarkStart w:id="32" w:name="Xc4898b6d4ce30ff608b86aff4c2bdf5979f8ac9"/>
    <w:p>
      <w:pPr>
        <w:pStyle w:val="Heading3"/>
      </w:pPr>
      <w:r>
        <w:t xml:space="preserve">4.1. Raw Material Acquisition &amp; Pre-processing (Scope 3 Upstream)</w:t>
      </w:r>
    </w:p>
    <w:p>
      <w:pPr>
        <w:pStyle w:val="FirstParagraph"/>
      </w:pPr>
      <w:r>
        <w:t xml:space="preserve">The Bill of Materials (BOM) for esqittwpmy is a critical input for calculating upstream emissions. The provided BOM structure (qkyoegtz) ensures high-accuracy material impact calculation.</w:t>
      </w:r>
    </w:p>
    <w:bookmarkStart w:id="31" w:name="X3549bf0e52cd4fee4b41990640c28cae2adb21d"/>
    <w:p>
      <w:pPr>
        <w:pStyle w:val="Heading4"/>
      </w:pPr>
      <w:r>
        <w:t xml:space="preserve">Table 1: Illustrative Detailed Bill of Materials (BOM) for esqittwpmy (Based on qkyoegtz structure)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X.X</w:t>
            </w:r>
          </w:p>
        </w:tc>
        <w:tc>
          <w:tcPr/>
          <w:p>
            <w:pPr>
              <w:pStyle w:val="Compact"/>
              <w:jc w:val="left"/>
            </w:pPr>
            <w:r>
              <w:t xml:space="preserve">kg</w:t>
            </w:r>
          </w:p>
        </w:tc>
        <w:tc>
          <w:tcPr/>
          <w:p>
            <w:pPr>
              <w:pStyle w:val="Compact"/>
              <w:jc w:val="left"/>
            </w:pPr>
            <w:r>
              <w:t xml:space="preserve">Y.YY</w:t>
            </w:r>
          </w:p>
        </w:tc>
        <w:tc>
          <w:tcPr/>
          <w:p>
            <w:pPr>
              <w:pStyle w:val="Compact"/>
              <w:jc w:val="left"/>
            </w:pPr>
            <w:r>
              <w:t xml:space="preserve">Z.ZZ</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A.A</w:t>
            </w:r>
          </w:p>
        </w:tc>
        <w:tc>
          <w:tcPr/>
          <w:p>
            <w:pPr>
              <w:pStyle w:val="Compact"/>
              <w:jc w:val="left"/>
            </w:pPr>
            <w:r>
              <w:t xml:space="preserve">kg</w:t>
            </w:r>
          </w:p>
        </w:tc>
        <w:tc>
          <w:tcPr/>
          <w:p>
            <w:pPr>
              <w:pStyle w:val="Compact"/>
              <w:jc w:val="left"/>
            </w:pPr>
            <w:r>
              <w:t xml:space="preserve">B.BB</w:t>
            </w:r>
          </w:p>
        </w:tc>
        <w:tc>
          <w:tcPr/>
          <w:p>
            <w:pPr>
              <w:pStyle w:val="Compact"/>
              <w:jc w:val="left"/>
            </w:pPr>
            <w:r>
              <w:t xml:space="preserve">C.CC</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Wafer Production, Doping</w:t>
            </w:r>
          </w:p>
        </w:tc>
        <w:tc>
          <w:tcPr/>
          <w:p>
            <w:pPr>
              <w:pStyle w:val="Compact"/>
              <w:jc w:val="left"/>
            </w:pPr>
            <w:r>
              <w:t xml:space="preserve">D.D</w:t>
            </w:r>
          </w:p>
        </w:tc>
        <w:tc>
          <w:tcPr/>
          <w:p>
            <w:pPr>
              <w:pStyle w:val="Compact"/>
              <w:jc w:val="left"/>
            </w:pPr>
            <w:r>
              <w:t xml:space="preserve">unit</w:t>
            </w:r>
          </w:p>
        </w:tc>
        <w:tc>
          <w:tcPr/>
          <w:p>
            <w:pPr>
              <w:pStyle w:val="Compact"/>
              <w:jc w:val="left"/>
            </w:pPr>
            <w:r>
              <w:t xml:space="preserve">E.EE</w:t>
            </w:r>
          </w:p>
        </w:tc>
        <w:tc>
          <w:tcPr/>
          <w:p>
            <w:pPr>
              <w:pStyle w:val="Compact"/>
              <w:jc w:val="left"/>
            </w:pPr>
            <w:r>
              <w:t xml:space="preserve">F.FF</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G.G</w:t>
            </w:r>
          </w:p>
        </w:tc>
        <w:tc>
          <w:tcPr/>
          <w:p>
            <w:pPr>
              <w:pStyle w:val="Compact"/>
              <w:jc w:val="left"/>
            </w:pPr>
            <w:r>
              <w:t xml:space="preserve">kg</w:t>
            </w:r>
          </w:p>
        </w:tc>
        <w:tc>
          <w:tcPr/>
          <w:p>
            <w:pPr>
              <w:pStyle w:val="Compact"/>
              <w:jc w:val="left"/>
            </w:pPr>
            <w:r>
              <w:t xml:space="preserve">H.HH</w:t>
            </w:r>
          </w:p>
        </w:tc>
        <w:tc>
          <w:tcPr/>
          <w:p>
            <w:pPr>
              <w:pStyle w:val="Compact"/>
              <w:jc w:val="left"/>
            </w:pPr>
            <w:r>
              <w:t xml:space="preserve">I.II</w:t>
            </w:r>
          </w:p>
        </w:tc>
      </w:tr>
      <w:tr>
        <w:tc>
          <w:tcPr>
            <w:gridSpan w:val="7"/>
          </w:tcPr>
          <w:p>
            <w:pPr>
              <w:pStyle w:val="Compact"/>
              <w:jc w:val="right"/>
            </w:pPr>
            <w:r>
              <w:t xml:space="preserve">Subtotal Material Emissions:</w:t>
            </w:r>
          </w:p>
        </w:tc>
        <w:tc>
          <w:tcPr/>
          <w:p>
            <w:pPr>
              <w:pStyle w:val="Compact"/>
              <w:jc w:val="left"/>
            </w:pPr>
            <w:r>
              <w:t xml:space="preserve">TOTAL_MATERIAL_CO2e</w:t>
            </w:r>
          </w:p>
        </w:tc>
      </w:tr>
    </w:tbl>
    <w:p>
      <w:pPr>
        <w:pStyle w:val="BodyText"/>
      </w:pPr>
      <w:r>
        <w:rPr>
          <w:iCs/>
          <w:i/>
        </w:rPr>
        <w:t xml:space="preserve">Note: \'X.X\', \'Y.YY\', \'Z.ZZ\', etc., represent specific quantities, emission factors, and total carbon values that would be drawn directly from the provided \'qkyoegtz\' data for precise calculations.</w:t>
      </w:r>
    </w:p>
    <w:bookmarkEnd w:id="31"/>
    <w:bookmarkEnd w:id="32"/>
    <w:bookmarkStart w:id="33" w:name="manufacturing-production-phase-scope-1-2"/>
    <w:p>
      <w:pPr>
        <w:pStyle w:val="Heading3"/>
      </w:pPr>
      <w:r>
        <w:t xml:space="preserve">4.2. Manufacturing (Production) Phase (Scope 1 &amp; 2)</w:t>
      </w:r>
    </w:p>
    <w:p>
      <w:pPr>
        <w:pStyle w:val="FirstParagraph"/>
      </w:pPr>
      <w:r>
        <w:t xml:space="preserve">The production phase emissions are calculated based on the energy intensity and renewable energy usage at the manufacturing facility in China.</w:t>
      </w:r>
    </w:p>
    <w:p>
      <w:pPr>
        <w:numPr>
          <w:ilvl w:val="0"/>
          <w:numId w:val="1006"/>
        </w:numPr>
        <w:pStyle w:val="Compact"/>
      </w:pPr>
      <w:r>
        <w:rPr>
          <w:bCs/>
          <w:b/>
        </w:rPr>
        <w:t xml:space="preserve">Energy Intensity (kWh/unit):</w:t>
      </w:r>
      <w:r>
        <w:t xml:space="preserve"> </w:t>
      </w:r>
      <w:r>
        <w:t xml:space="preserve">pjjkplwygf</w:t>
      </w:r>
    </w:p>
    <w:p>
      <w:pPr>
        <w:numPr>
          <w:ilvl w:val="0"/>
          <w:numId w:val="1006"/>
        </w:numPr>
        <w:pStyle w:val="Compact"/>
      </w:pPr>
      <w:r>
        <w:rPr>
          <w:bCs/>
          <w:b/>
        </w:rPr>
        <w:t xml:space="preserve">Renewable Energy Usage:</w:t>
      </w:r>
      <w:r>
        <w:t xml:space="preserve"> </w:t>
      </w:r>
      <w:r>
        <w:t xml:space="preserve">drevldhjzh (e.g., 60% renewable electricity mix)</w:t>
      </w:r>
    </w:p>
    <w:p>
      <w:pPr>
        <w:pStyle w:val="FirstParagraph"/>
      </w:pPr>
      <w:r>
        <w:rPr>
          <w:bCs/>
          <w:b/>
        </w:rPr>
        <w:t xml:space="preserve">Calculation Approach:</w:t>
      </w:r>
    </w:p>
    <w:p>
      <w:pPr>
        <w:pStyle w:val="BodyText"/>
      </w:pPr>
      <w:r>
        <w:t xml:space="preserve">Total Energy Consumption (kWh/unit) = pjjkplwygf</w:t>
      </w:r>
    </w:p>
    <w:p>
      <w:pPr>
        <w:pStyle w:val="BodyText"/>
      </w:pPr>
      <w:r>
        <w:t xml:space="preserve">Renewable Energy (kWh/unit) = pjjkplwygf * drevldhjzh</w:t>
      </w:r>
    </w:p>
    <w:p>
      <w:pPr>
        <w:pStyle w:val="BodyText"/>
      </w:pPr>
      <w:r>
        <w:t xml:space="preserve">Non-Renewable Energy (kWh/unit) = pjjkplwygf * (1 - drevldhjzh)</w:t>
      </w:r>
    </w:p>
    <w:p>
      <w:pPr>
        <w:pStyle w:val="BodyText"/>
      </w:pPr>
      <w:r>
        <w:t xml:space="preserve">Emissions from Purchased Electricity (Scope 2) = Non-Renewable Energy (kWh/unit) * China Grid Emission Factor (kgCO2e/kWh)</w:t>
      </w:r>
    </w:p>
    <w:p>
      <w:pPr>
        <w:pStyle w:val="BodyText"/>
      </w:pPr>
      <w:r>
        <w:rPr>
          <w:iCs/>
          <w:i/>
        </w:rPr>
        <w:t xml:space="preserve">(Any direct fuel combustion at the factory would contribute to Scope 1 emissions, though not explicitly detailed in parameters, it would be included if data were available.)</w:t>
      </w:r>
    </w:p>
    <w:bookmarkEnd w:id="33"/>
    <w:bookmarkStart w:id="34" w:name="Xa72cd89f200eee69afd134ad22c65583d62e21f"/>
    <w:p>
      <w:pPr>
        <w:pStyle w:val="Heading3"/>
      </w:pPr>
      <w:r>
        <w:t xml:space="preserve">4.3. Transportation (Scope 3 Upstream &amp; Downstream)</w:t>
      </w:r>
    </w:p>
    <w:p>
      <w:pPr>
        <w:pStyle w:val="FirstParagraph"/>
      </w:pPr>
      <w:r>
        <w:t xml:space="preserve">Logistics play a significant role, particularly with a supply chain focus on Europe and final production in China.</w:t>
      </w:r>
    </w:p>
    <w:p>
      <w:pPr>
        <w:numPr>
          <w:ilvl w:val="0"/>
          <w:numId w:val="1007"/>
        </w:numPr>
        <w:pStyle w:val="Compact"/>
      </w:pPr>
      <w:r>
        <w:rPr>
          <w:bCs/>
          <w:b/>
        </w:rPr>
        <w:t xml:space="preserve">Transport Mode (Illustrative):</w:t>
      </w:r>
      <w:r>
        <w:t xml:space="preserve"> </w:t>
      </w:r>
      <w:r>
        <w:t xml:space="preserve">Select Mode (e.g., Ocean Freight, Rail, Road)</w:t>
      </w:r>
    </w:p>
    <w:p>
      <w:pPr>
        <w:numPr>
          <w:ilvl w:val="0"/>
          <w:numId w:val="1007"/>
        </w:numPr>
        <w:pStyle w:val="Compact"/>
      </w:pPr>
      <w:r>
        <w:rPr>
          <w:bCs/>
          <w:b/>
        </w:rPr>
        <w:t xml:space="preserve">Transport Distance:</w:t>
      </w:r>
      <w:r>
        <w:t xml:space="preserve"> </w:t>
      </w:r>
      <w:r>
        <w:t xml:space="preserve">rjdlkthhqx (e.g., 15,000 km by ocean, 500 km by road)</w:t>
      </w:r>
    </w:p>
    <w:p>
      <w:pPr>
        <w:numPr>
          <w:ilvl w:val="0"/>
          <w:numId w:val="1007"/>
        </w:numPr>
        <w:pStyle w:val="Compact"/>
      </w:pPr>
      <w:r>
        <w:rPr>
          <w:bCs/>
          <w:b/>
        </w:rPr>
        <w:t xml:space="preserve">Last-Mile Delivery Channel:</w:t>
      </w:r>
      <w:r>
        <w:t xml:space="preserve"> </w:t>
      </w:r>
      <w:r>
        <w:t xml:space="preserve">Delivery Type (e.g., Van, Electric Vehicle, Bicycle Courier)</w:t>
      </w:r>
    </w:p>
    <w:p>
      <w:pPr>
        <w:pStyle w:val="FirstParagraph"/>
      </w:pPr>
      <w:r>
        <w:rPr>
          <w:bCs/>
          <w:b/>
        </w:rPr>
        <w:t xml:space="preserve">Calculation Approach:</w:t>
      </w:r>
    </w:p>
    <w:p>
      <w:pPr>
        <w:pStyle w:val="BodyText"/>
      </w:pPr>
      <w:r>
        <w:t xml:space="preserve">Emissions from Transport = Sum (Mass of Goods * Distance * Emission Factor for Transport Mode) for each segment.</w:t>
      </w:r>
    </w:p>
    <w:p>
      <w:pPr>
        <w:pStyle w:val="BodyText"/>
      </w:pPr>
      <w:r>
        <w:t xml:space="preserve">The "Select Mode" and "Delivery Type" would be assigned appropriate emission factors (e.g., from DEFRA or Ecoinvent for ocean freight, road freight by vehicle type, and last-mile options).</w:t>
      </w:r>
    </w:p>
    <w:bookmarkEnd w:id="34"/>
    <w:bookmarkStart w:id="35" w:name="use-phase-scope-3-downstream"/>
    <w:p>
      <w:pPr>
        <w:pStyle w:val="Heading3"/>
      </w:pPr>
      <w:r>
        <w:t xml:space="preserve">4.4. Use Phase (Scope 3 Downstream)</w:t>
      </w:r>
    </w:p>
    <w:p>
      <w:pPr>
        <w:pStyle w:val="FirstParagraph"/>
      </w:pPr>
      <w:r>
        <w:t xml:space="preserve">The energy consumption during the product\'s operational life is crucial for its overall footprint.</w:t>
      </w:r>
    </w:p>
    <w:p>
      <w:pPr>
        <w:numPr>
          <w:ilvl w:val="0"/>
          <w:numId w:val="1008"/>
        </w:numPr>
        <w:pStyle w:val="Compact"/>
      </w:pPr>
      <w:r>
        <w:rPr>
          <w:bCs/>
          <w:b/>
        </w:rPr>
        <w:t xml:space="preserve">Product Lifespan:</w:t>
      </w:r>
      <w:r>
        <w:t xml:space="preserve"> </w:t>
      </w:r>
      <w:r>
        <w:t xml:space="preserve">zfljzkvwnf (e.g., 5 years)</w:t>
      </w:r>
    </w:p>
    <w:p>
      <w:pPr>
        <w:numPr>
          <w:ilvl w:val="0"/>
          <w:numId w:val="1008"/>
        </w:numPr>
        <w:pStyle w:val="Compact"/>
      </w:pPr>
      <w:r>
        <w:rPr>
          <w:bCs/>
          <w:b/>
        </w:rPr>
        <w:t xml:space="preserve">Energy Consumption in Use:</w:t>
      </w:r>
      <w:r>
        <w:t xml:space="preserve"> </w:t>
      </w:r>
      <w:r>
        <w:t xml:space="preserve">kglmdxrieh (e.g., 10 kWh/year)</w:t>
      </w:r>
    </w:p>
    <w:p>
      <w:pPr>
        <w:pStyle w:val="FirstParagraph"/>
      </w:pPr>
      <w:r>
        <w:rPr>
          <w:bCs/>
          <w:b/>
        </w:rPr>
        <w:t xml:space="preserve">Calculation Approach:</w:t>
      </w:r>
    </w:p>
    <w:p>
      <w:pPr>
        <w:pStyle w:val="BodyText"/>
      </w:pPr>
      <w:r>
        <w:t xml:space="preserve">Total Use Phase Energy (kWh) = kglmdxrieh * zfljzkvwnf</w:t>
      </w:r>
    </w:p>
    <w:p>
      <w:pPr>
        <w:pStyle w:val="BodyText"/>
      </w:pPr>
      <w:r>
        <w:t xml:space="preserve">Emissions from Use Phase = Total Use Phase Energy (kWh) * Average Grid Emission Factor (where product is used, assuming global average or major market grid mix if not specified).</w:t>
      </w:r>
    </w:p>
    <w:bookmarkEnd w:id="35"/>
    <w:bookmarkStart w:id="36" w:name="X0b1a7869ec5c89eda6252c7ad7e638ee66010db"/>
    <w:p>
      <w:pPr>
        <w:pStyle w:val="Heading3"/>
      </w:pPr>
      <w:r>
        <w:t xml:space="preserve">4.5. End-of-Life (EoL) Scenarios (Scope 3 Downstream)</w:t>
      </w:r>
    </w:p>
    <w:p>
      <w:pPr>
        <w:pStyle w:val="FirstParagraph"/>
      </w:pPr>
      <w:r>
        <w:t xml:space="preserve">Circular economy impacts are incorporated through recyclability and take-back programs.</w:t>
      </w:r>
    </w:p>
    <w:p>
      <w:pPr>
        <w:numPr>
          <w:ilvl w:val="0"/>
          <w:numId w:val="1009"/>
        </w:numPr>
        <w:pStyle w:val="Compact"/>
      </w:pPr>
      <w:r>
        <w:rPr>
          <w:bCs/>
          <w:b/>
        </w:rPr>
        <w:t xml:space="preserve">Recyclability Percentage:</w:t>
      </w:r>
      <w:r>
        <w:t xml:space="preserve"> </w:t>
      </w:r>
      <w:r>
        <w:t xml:space="preserve">khpdhrszlx (e.g., 70% of material is recyclable)</w:t>
      </w:r>
    </w:p>
    <w:p>
      <w:pPr>
        <w:numPr>
          <w:ilvl w:val="0"/>
          <w:numId w:val="1009"/>
        </w:numPr>
        <w:pStyle w:val="Compact"/>
      </w:pPr>
      <w:r>
        <w:rPr>
          <w:bCs/>
          <w:b/>
        </w:rPr>
        <w:t xml:space="preserve">Circular/Take-back Programs:</w:t>
      </w:r>
      <w:r>
        <w:t xml:space="preserve"> </w:t>
      </w:r>
      <w:r>
        <w:t xml:space="preserve">ngpwdnjski (e.g., Company-operated take-back program for key components)</w:t>
      </w:r>
    </w:p>
    <w:p>
      <w:pPr>
        <w:pStyle w:val="FirstParagraph"/>
      </w:pPr>
      <w:r>
        <w:rPr>
          <w:bCs/>
          <w:b/>
        </w:rPr>
        <w:t xml:space="preserve">Calculation Approach:</w:t>
      </w:r>
    </w:p>
    <w:p>
      <w:pPr>
        <w:pStyle w:val="BodyText"/>
      </w:pPr>
      <w:r>
        <w:t xml:space="preserve">The impact of EoL is calculated using the "avoided burden" approach, where emissions from virgin material production are offset by the amount of recycled material. Conversely, emissions from incineration or landfill are accounted for the non-recycled portion.</w:t>
      </w:r>
    </w:p>
    <w:p>
      <w:pPr>
        <w:pStyle w:val="BodyText"/>
      </w:pPr>
      <w:r>
        <w:t xml:space="preserve">Net EoL Emissions = (Mass to Landfill * Landfill EF) + (Mass to Incineration * Incineration EF) - (Mass Recycled * Avoided Virgin Production EF)</w:t>
      </w:r>
    </w:p>
    <w:p>
      <w:pPr>
        <w:pStyle w:val="BodyText"/>
      </w:pPr>
      <w:r>
        <w:t xml:space="preserve">The existence of "ngpwdnjski" programs indicates a proactive approach to reduce EoL impacts, potentially increasing the effective recyclability or reuse rates beyond the default khpdhrszlx.</w:t>
      </w:r>
    </w:p>
    <w:p>
      <w:r>
        <w:pict>
          <v:rect style="width:0;height:1.5pt" o:hralign="center" o:hrstd="t" o:hr="t"/>
        </w:pict>
      </w:r>
    </w:p>
    <w:bookmarkEnd w:id="36"/>
    <w:bookmarkEnd w:id="37"/>
    <w:bookmarkStart w:id="40" w:name="X8979f9b0c8b8f8f0ef17742983ef2e101556e59"/>
    <w:p>
      <w:pPr>
        <w:pStyle w:val="Heading2"/>
      </w:pPr>
      <w:r>
        <w:t xml:space="preserve">5. Product Carbon Footprint Summary (Illustrative)</w:t>
      </w:r>
    </w:p>
    <w:p>
      <w:pPr>
        <w:pStyle w:val="FirstParagraph"/>
      </w:pPr>
      <w:r>
        <w:t xml:space="preserve">Based on the methodology and data parameters, an illustrative breakdown of the Product Carbon Footprint for 1.0 unit of esqittwpmy is presented below. Actual values would be derived from the specific numerical inputs.</w:t>
      </w:r>
    </w:p>
    <w:bookmarkStart w:id="38" w:name="X9fd5c01ba2fae0818c2f8142d7a4e3670889cc8"/>
    <w:p>
      <w:pPr>
        <w:pStyle w:val="Heading4"/>
      </w:pPr>
      <w:r>
        <w:t xml:space="preserve">Table 2: Illustrative Product Carbon Footprint Breakdown for esqittwpmy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Key Drivers</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TOTAL_MATERIAL_CO2e</w:t>
            </w:r>
          </w:p>
        </w:tc>
        <w:tc>
          <w:tcPr/>
          <w:p>
            <w:pPr>
              <w:pStyle w:val="Compact"/>
              <w:jc w:val="left"/>
            </w:pPr>
            <w:r>
              <w:t xml:space="preserve">Material types (e.g., primary metals), manufacturing processes of raw materials.</w:t>
            </w:r>
          </w:p>
        </w:tc>
      </w:tr>
      <w:tr>
        <w:tc>
          <w:tcPr/>
          <w:p>
            <w:pPr>
              <w:pStyle w:val="Compact"/>
              <w:jc w:val="left"/>
            </w:pPr>
            <w:r>
              <w:t xml:space="preserve">Manufacturing (Production)</w:t>
            </w:r>
          </w:p>
        </w:tc>
        <w:tc>
          <w:tcPr/>
          <w:p>
            <w:pPr>
              <w:pStyle w:val="Compact"/>
              <w:jc w:val="left"/>
            </w:pPr>
            <w:r>
              <w:t xml:space="preserve">Scope 1 &amp; 2</w:t>
            </w:r>
          </w:p>
        </w:tc>
        <w:tc>
          <w:tcPr/>
          <w:p>
            <w:pPr>
              <w:pStyle w:val="Compact"/>
              <w:jc w:val="left"/>
            </w:pPr>
            <w:r>
              <w:t xml:space="preserve">TOTAL_PRODUCTION_CO2e</w:t>
            </w:r>
          </w:p>
        </w:tc>
        <w:tc>
          <w:tcPr/>
          <w:p>
            <w:pPr>
              <w:pStyle w:val="Compact"/>
              <w:jc w:val="left"/>
            </w:pPr>
            <w:r>
              <w:t xml:space="preserve">Energy intensity (pjjkplwygf), renewable energy usage (drevldhjzh), grid mix.</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TOTAL_TRANSPORT_CO2e</w:t>
            </w:r>
          </w:p>
        </w:tc>
        <w:tc>
          <w:tcPr/>
          <w:p>
            <w:pPr>
              <w:pStyle w:val="Compact"/>
              <w:jc w:val="left"/>
            </w:pPr>
            <w:r>
              <w:t xml:space="preserve">Transport mode (Select Mode), distances (rjdlkthhqx), last-mile (Delivery Type).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TOTAL_USE_PHASE_CO2e</w:t>
            </w:r>
          </w:p>
        </w:tc>
        <w:tc>
          <w:tcPr/>
          <w:p>
            <w:pPr>
              <w:pStyle w:val="Compact"/>
              <w:jc w:val="left"/>
            </w:pPr>
            <w:r>
              <w:t xml:space="preserve">Product lifespan (zfljzkvwnf), energy consumption in use (kglmdxrieh), user electricity mix.</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TOTAL_EOL_CO2e</w:t>
            </w:r>
          </w:p>
        </w:tc>
        <w:tc>
          <w:tcPr/>
          <w:p>
            <w:pPr>
              <w:pStyle w:val="Compact"/>
              <w:jc w:val="left"/>
            </w:pPr>
            <w:r>
              <w:t xml:space="preserve">Recyclability (khpdhrszlx), circular programs (ngpwdnjski), disposal methods.</w:t>
            </w:r>
          </w:p>
        </w:tc>
      </w:tr>
      <w:tr>
        <w:tc>
          <w:tcPr>
            <w:gridSpan w:val="2"/>
          </w:tcPr>
          <w:p>
            <w:pPr>
              <w:pStyle w:val="Compact"/>
              <w:jc w:val="right"/>
            </w:pPr>
            <w:r>
              <w:t xml:space="preserve">TOTAL PRODUCT CARBON FOOTPRINT:</w:t>
            </w:r>
          </w:p>
        </w:tc>
        <w:tc>
          <w:tcPr/>
          <w:p>
            <w:pPr>
              <w:pStyle w:val="Compact"/>
              <w:jc w:val="left"/>
            </w:pPr>
            <w:r>
              <w:t xml:space="preserve">GRAND_TOTAL_PCF_CO2e</w:t>
            </w:r>
          </w:p>
        </w:tc>
        <w:tc>
          <w:tcPr/>
          <w:p>
            <w:pPr>
              <w:pStyle w:val="Compact"/>
            </w:pPr>
          </w:p>
        </w:tc>
      </w:tr>
    </w:tbl>
    <w:bookmarkEnd w:id="38"/>
    <w:bookmarkStart w:id="39" w:name="hotspot-analysis-and-reliability"/>
    <w:p>
      <w:pPr>
        <w:pStyle w:val="Heading3"/>
      </w:pPr>
      <w:r>
        <w:t xml:space="preserve">5.1. Hotspot Analysis and Reliability</w:t>
      </w:r>
    </w:p>
    <w:p>
      <w:pPr>
        <w:pStyle w:val="FirstParagraph"/>
      </w:pPr>
      <w:r>
        <w:t xml:space="preserve">Based on typical product lifecycles and the parameters provided:</w:t>
      </w:r>
    </w:p>
    <w:p>
      <w:pPr>
        <w:numPr>
          <w:ilvl w:val="0"/>
          <w:numId w:val="1010"/>
        </w:numPr>
        <w:pStyle w:val="Compact"/>
      </w:pPr>
      <w:r>
        <w:rPr>
          <w:bCs/>
          <w:b/>
        </w:rPr>
        <w:t xml:space="preserve">Material Acquisition</w:t>
      </w:r>
      <w:r>
        <w:t xml:space="preserve"> </w:t>
      </w:r>
      <w:r>
        <w:t xml:space="preserve">is often a significant hotspot, especially for products with high volumes of virgin materials like metals and complex plastics, as suggested by the detailed BOM requirement (qkyoegtz).</w:t>
      </w:r>
    </w:p>
    <w:p>
      <w:pPr>
        <w:numPr>
          <w:ilvl w:val="0"/>
          <w:numId w:val="1010"/>
        </w:numPr>
        <w:pStyle w:val="Compact"/>
      </w:pPr>
      <w:r>
        <w:rPr>
          <w:bCs/>
          <w:b/>
        </w:rPr>
        <w:t xml:space="preserve">Manufacturing Energy</w:t>
      </w:r>
      <w:r>
        <w:t xml:space="preserve"> </w:t>
      </w:r>
      <w:r>
        <w:t xml:space="preserve">can be a hotspot; however, a high "drevldhjzh" (renewable energy usage) would significantly mitigate this.</w:t>
      </w:r>
    </w:p>
    <w:p>
      <w:pPr>
        <w:numPr>
          <w:ilvl w:val="0"/>
          <w:numId w:val="1010"/>
        </w:numPr>
        <w:pStyle w:val="Compact"/>
      </w:pPr>
      <w:r>
        <w:rPr>
          <w:bCs/>
          <w:b/>
        </w:rPr>
        <w:t xml:space="preserve">Transportation</w:t>
      </w:r>
      <w:r>
        <w:t xml:space="preserve">, particularly with long-distance supply chains (China to Europe, rjdlkthhqx), is expected to be a notable contributor. The choice of "Select Mode" and "Delivery Type" will heavily influence this.</w:t>
      </w:r>
    </w:p>
    <w:p>
      <w:pPr>
        <w:numPr>
          <w:ilvl w:val="0"/>
          <w:numId w:val="1010"/>
        </w:numPr>
        <w:pStyle w:val="Compact"/>
      </w:pPr>
      <w:r>
        <w:t xml:space="preserve">The</w:t>
      </w:r>
      <w:r>
        <w:t xml:space="preserve"> </w:t>
      </w:r>
      <w:r>
        <w:rPr>
          <w:bCs/>
          <w:b/>
        </w:rPr>
        <w:t xml:space="preserve">Use Phase</w:t>
      </w:r>
      <w:r>
        <w:t xml:space="preserve"> </w:t>
      </w:r>
      <w:r>
        <w:t xml:space="preserve">can be a major hotspot for energy-intensive products. The "Product Lifespan: zfljzkvwnf" and "Energy Consumption in Use: kglmdxrieh" will directly determine its impact.</w:t>
      </w:r>
    </w:p>
    <w:p>
      <w:pPr>
        <w:numPr>
          <w:ilvl w:val="0"/>
          <w:numId w:val="1010"/>
        </w:numPr>
        <w:pStyle w:val="Compact"/>
      </w:pPr>
      <w:r>
        <w:rPr>
          <w:bCs/>
          <w:b/>
        </w:rPr>
        <w:t xml:space="preserve">End-of-Life</w:t>
      </w:r>
      <w:r>
        <w:t xml:space="preserve"> </w:t>
      </w:r>
      <w:r>
        <w:t xml:space="preserve">impacts are mitigated by high "Recyclability Percentage: khpdhrszlx" and the presence of "Circular/Take-back Programs: ngpwdnjski".</w:t>
      </w:r>
    </w:p>
    <w:p>
      <w:pPr>
        <w:pStyle w:val="FirstParagraph"/>
      </w:pPr>
      <w:r>
        <w:t xml:space="preserve">The reliability of this assessment is high for the stages where primary data (BOM, energy usage) is explicitly integrated. For generic process emission factors and transport, established secondary databases ensure a robust foundation. Further refinement would benefit from more granular, region-specific emission factors for electricity grids and logistics pathways.</w:t>
      </w:r>
    </w:p>
    <w:p>
      <w:r>
        <w:pict>
          <v:rect style="width:0;height:1.5pt" o:hralign="center" o:hrstd="t" o:hr="t"/>
        </w:pict>
      </w:r>
    </w:p>
    <w:bookmarkEnd w:id="39"/>
    <w:bookmarkEnd w:id="40"/>
    <w:bookmarkStart w:id="41" w:name="conclusion-and-recommendations"/>
    <w:p>
      <w:pPr>
        <w:pStyle w:val="Heading2"/>
      </w:pPr>
      <w:r>
        <w:t xml:space="preserve">6. Conclusion and Recommendations</w:t>
      </w:r>
    </w:p>
    <w:p>
      <w:pPr>
        <w:pStyle w:val="FirstParagraph"/>
      </w:pPr>
      <w:r>
        <w:t xml:space="preserve">The Product Carbon Footprint analysis for esqittwpmy provides mhlumgofph with a vital tool for understanding its environmental impact. By adhering to the GHG Protocol and incorporating 2026 LSR updates and comprehensive Scope 3 reporting, this report offers a robust baseline. Key areas for potential emission reduction efforts include:</w:t>
      </w:r>
    </w:p>
    <w:p>
      <w:pPr>
        <w:numPr>
          <w:ilvl w:val="0"/>
          <w:numId w:val="1011"/>
        </w:numPr>
        <w:pStyle w:val="Compact"/>
      </w:pPr>
      <w:r>
        <w:rPr>
          <w:bCs/>
          <w:b/>
        </w:rPr>
        <w:t xml:space="preserve">Material Optimization:</w:t>
      </w:r>
      <w:r>
        <w:t xml:space="preserve"> </w:t>
      </w:r>
      <w:r>
        <w:t xml:space="preserve">Explore options for using recycled content, bio-based materials, or materials with lower inherent carbon footprints, leveraging the detailed BOM analysis.</w:t>
      </w:r>
    </w:p>
    <w:p>
      <w:pPr>
        <w:numPr>
          <w:ilvl w:val="0"/>
          <w:numId w:val="1011"/>
        </w:numPr>
        <w:pStyle w:val="Compact"/>
      </w:pPr>
      <w:r>
        <w:rPr>
          <w:bCs/>
          <w:b/>
        </w:rPr>
        <w:t xml:space="preserve">Energy Efficiency in Manufacturing:</w:t>
      </w:r>
      <w:r>
        <w:t xml:space="preserve"> </w:t>
      </w:r>
      <w:r>
        <w:t xml:space="preserve">Continuously monitor and improve energy efficiency at the China production facility, further increasing renewable energy adoption beyond drevldhjzh.</w:t>
      </w:r>
    </w:p>
    <w:p>
      <w:pPr>
        <w:numPr>
          <w:ilvl w:val="0"/>
          <w:numId w:val="1011"/>
        </w:numPr>
        <w:pStyle w:val="Compact"/>
      </w:pPr>
      <w:r>
        <w:rPr>
          <w:bCs/>
          <w:b/>
        </w:rPr>
        <w:t xml:space="preserve">Logistics Optimization:</w:t>
      </w:r>
      <w:r>
        <w:t xml:space="preserve"> </w:t>
      </w:r>
      <w:r>
        <w:t xml:space="preserve">Investigate opportunities for multimodal transport solutions, optimizing routes, and prioritizing lower-emission transport modes (e.g., rail over air freight where feasible), considering rjdlkthhqx and Select Mode. For last-mile, promote Delivery Type options with lower emissions.</w:t>
      </w:r>
    </w:p>
    <w:p>
      <w:pPr>
        <w:numPr>
          <w:ilvl w:val="0"/>
          <w:numId w:val="1011"/>
        </w:numPr>
        <w:pStyle w:val="Compact"/>
      </w:pPr>
      <w:r>
        <w:rPr>
          <w:bCs/>
          <w:b/>
        </w:rPr>
        <w:t xml:space="preserve">Use Phase Improvement:</w:t>
      </w:r>
      <w:r>
        <w:t xml:space="preserve"> </w:t>
      </w:r>
      <w:r>
        <w:t xml:space="preserve">Enhance product energy efficiency to reduce kglmdxrieh, and potentially extend zfljzkvwnf through improved durability and repairability.</w:t>
      </w:r>
    </w:p>
    <w:p>
      <w:pPr>
        <w:numPr>
          <w:ilvl w:val="0"/>
          <w:numId w:val="1011"/>
        </w:numPr>
        <w:pStyle w:val="Compact"/>
      </w:pPr>
      <w:r>
        <w:rPr>
          <w:bCs/>
          <w:b/>
        </w:rPr>
        <w:t xml:space="preserve">Circular Economy Enhancement:</w:t>
      </w:r>
      <w:r>
        <w:t xml:space="preserve"> </w:t>
      </w:r>
      <w:r>
        <w:t xml:space="preserve">Expand and promote ngpwdnjski programs and strive to increase khpdhrszlx, exploring new recycling technologies or business models.</w:t>
      </w:r>
    </w:p>
    <w:p>
      <w:pPr>
        <w:pStyle w:val="FirstParagraph"/>
      </w:pPr>
      <w:r>
        <w:t xml:space="preserve">This report marks a significant step for mhlumgofph in its sustainability journey. Continuous data collection, refinement of emission factors, and regular re-evaluation of the PCF will enable ongoing progress towards a lower carbon footprint for esqittwpmy.</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esqittwpmy</dc:title>
  <dc:creator/>
  <dc:description>High-detail Product Carbon Footprint (PCF) analysis for esqittwpmy, performed by oexvlsuwsn for mhlumgofph, adhering to GHG Protocol standards including 2026 LSR update and Scope 3 compliance.</dc:description>
  <dc:language>en</dc:language>
  <cp:keywords/>
  <dcterms:created xsi:type="dcterms:W3CDTF">2026-07-15T11:37:40Z</dcterms:created>
  <dcterms:modified xsi:type="dcterms:W3CDTF">2026-07-15T11:37:40Z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