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esorivuogq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esorivuogq</w:t>
      </w:r>
    </w:p>
    <w:p>
      <w:pPr>
        <w:pStyle w:val="BodyText"/>
      </w:pPr>
      <w:r>
        <w:rPr>
          <w:bCs/>
          <w:b/>
        </w:rPr>
        <w:t xml:space="preserve">Company Name:</w:t>
      </w:r>
      <w:r>
        <w:t xml:space="preserve"> </w:t>
      </w:r>
      <w:r>
        <w:t xml:space="preserve">pthkquzrlp</w:t>
      </w:r>
    </w:p>
    <w:p>
      <w:pPr>
        <w:pStyle w:val="BodyText"/>
      </w:pPr>
      <w:r>
        <w:rPr>
          <w:bCs/>
          <w:b/>
        </w:rPr>
        <w:t xml:space="preserve">Senior Sustainability Consultant:</w:t>
      </w:r>
      <w:r>
        <w:t xml:space="preserve"> </w:t>
      </w:r>
      <w:r>
        <w:t xml:space="preserve">gyomehzjrq</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illustrative analysis. Specific numerical values for certain parameters are assumed for demonstration purposes due to the placeholder nature of the input data.</w:t>
      </w:r>
    </w:p>
    <w:bookmarkEnd w:id="20"/>
    <w:bookmarkStart w:id="49" w:name="X7496c83e5b69f48450ab39e7e294c003cbbcbb7"/>
    <w:p>
      <w:pPr>
        <w:pStyle w:val="Heading1"/>
      </w:pPr>
      <w:r>
        <w:t xml:space="preserve">Product Carbon Footprint Analysis for esorivuogq</w:t>
      </w:r>
    </w:p>
    <w:p>
      <w:pPr>
        <w:pStyle w:val="FirstParagraph"/>
      </w:pPr>
      <w:r>
        <w:t xml:space="preserve">Generated Date: 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\'esorivuogq\', manufactured by \'pthkquzrlp\'. The analysis was conducted by \'gyomehzjrq\', Senior Sustainability Consultant, adhering to the GHG Protocol. The assessment covers a factory-gate to end-of-life system boundary, with a geographic focus on China for final production and a Europe-focused supply chain for materials, considering the product\'s functional unit of 1.0 unit. Key emission hotspots were identified across material acquisition, production, transportation, use, and end-of-life phases. The report emphasizes compliance with the 2026 Land Sector and Removals (LSR) Standard and aims for at least 95% coverage for Scope 3 emissions reporting, aligning with the latest GHG Protocol requirements.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esorivuogq</w:t>
      </w:r>
      <w:r>
        <w:t xml:space="preserve">, fulfilling its intended purpose over its specified lifespan.</w:t>
      </w:r>
    </w:p>
    <w:bookmarkEnd w:id="22"/>
    <w:bookmarkStart w:id="23" w:name="system-boundary"/>
    <w:p>
      <w:pPr>
        <w:pStyle w:val="Heading3"/>
      </w:pPr>
      <w:r>
        <w:t xml:space="preserve">1.2 System Boundary</w:t>
      </w:r>
    </w:p>
    <w:p>
      <w:pPr>
        <w:pStyle w:val="FirstParagraph"/>
      </w:pPr>
      <w:r>
        <w:t xml:space="preserve">The system boundary for this assessment is</w:t>
      </w:r>
      <w:r>
        <w:t xml:space="preserve"> </w:t>
      </w:r>
      <w:r>
        <w:rPr>
          <w:bCs/>
          <w:b/>
        </w:rPr>
        <w:t xml:space="preserve">factory_gate</w:t>
      </w:r>
      <w:r>
        <w:t xml:space="preserve">. This cradle-to-gate-plus-use-and-end-of-life approach includes:</w:t>
      </w:r>
    </w:p>
    <w:p>
      <w:pPr>
        <w:numPr>
          <w:ilvl w:val="0"/>
          <w:numId w:val="1001"/>
        </w:numPr>
        <w:pStyle w:val="Compact"/>
      </w:pPr>
      <w:r>
        <w:t xml:space="preserve">Material acquisition and pre-processing (upstream activities).</w:t>
      </w:r>
    </w:p>
    <w:p>
      <w:pPr>
        <w:numPr>
          <w:ilvl w:val="0"/>
          <w:numId w:val="1001"/>
        </w:numPr>
        <w:pStyle w:val="Compact"/>
      </w:pPr>
      <w:r>
        <w:t xml:space="preserve">Manufacturing and assembly at the factory gate.</w:t>
      </w:r>
    </w:p>
    <w:p>
      <w:pPr>
        <w:numPr>
          <w:ilvl w:val="0"/>
          <w:numId w:val="1001"/>
        </w:numPr>
        <w:pStyle w:val="Compact"/>
      </w:pPr>
      <w:r>
        <w:t xml:space="preserve">Transportation (upstream to factory, and downstream to customer).</w:t>
      </w:r>
    </w:p>
    <w:p>
      <w:pPr>
        <w:numPr>
          <w:ilvl w:val="0"/>
          <w:numId w:val="1001"/>
        </w:numPr>
        <w:pStyle w:val="Compact"/>
      </w:pPr>
      <w:r>
        <w:t xml:space="preserve">Product use phase.</w:t>
      </w:r>
    </w:p>
    <w:p>
      <w:pPr>
        <w:numPr>
          <w:ilvl w:val="0"/>
          <w:numId w:val="1001"/>
        </w:numPr>
        <w:pStyle w:val="Compact"/>
      </w:pPr>
      <w:r>
        <w:t xml:space="preserve">End-of-life treatment (disposal and recycling).</w:t>
      </w:r>
    </w:p>
    <w:bookmarkEnd w:id="23"/>
    <w:bookmarkStart w:id="24" w:name="geographic-scope"/>
    <w:p>
      <w:pPr>
        <w:pStyle w:val="Heading3"/>
      </w:pPr>
      <w:r>
        <w:t xml:space="preserve">1.3 Geographic Scope</w:t>
      </w:r>
    </w:p>
    <w:p>
      <w:pPr>
        <w:pStyle w:val="FirstParagraph"/>
      </w:pPr>
      <w:r>
        <w:t xml:space="preserve">The geographic scope for the final production of \'esorivuogq\' is</w:t>
      </w:r>
      <w:r>
        <w:t xml:space="preserve"> </w:t>
      </w:r>
      <w:r>
        <w:rPr>
          <w:bCs/>
          <w:b/>
        </w:rPr>
        <w:t xml:space="preserve">China</w:t>
      </w:r>
      <w:r>
        <w:t xml:space="preserve">. The supply chain for materials is primarily</w:t>
      </w:r>
      <w:r>
        <w:t xml:space="preserve"> </w:t>
      </w:r>
      <w:r>
        <w:rPr>
          <w:bCs/>
          <w:b/>
        </w:rPr>
        <w:t xml:space="preserve">Europe Focused</w:t>
      </w:r>
      <w:r>
        <w:t xml:space="preserve">. The use phase is assumed to be within Europe, influencing electricity grid emission factors.</w:t>
      </w:r>
    </w:p>
    <w:bookmarkEnd w:id="24"/>
    <w:bookmarkStart w:id="25"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w:t>
      </w:r>
      <w:r>
        <w:t xml:space="preserve">, categorizing emissions into Scope 1 (direct), Scope 2 (purchased energy), and Scope 3 (value chain) for comprehensive reporting.</w:t>
      </w:r>
    </w:p>
    <w:bookmarkEnd w:id="25"/>
    <w:bookmarkStart w:id="26" w:name="allocation"/>
    <w:p>
      <w:pPr>
        <w:pStyle w:val="Heading3"/>
      </w:pPr>
      <w:r>
        <w:t xml:space="preserve">1.5 Allocation</w:t>
      </w:r>
    </w:p>
    <w:p>
      <w:pPr>
        <w:pStyle w:val="FirstParagraph"/>
      </w:pPr>
      <w:r>
        <w:t xml:space="preserve">Emissions are allocated to the functional unit based on mass and energy consumption attributable to the production, use, and end-of-life of a single unit of \'esorivuogq\'. For co-product situations, mass or economic allocation would typically be applied; however, for this product-specific PCF, direct attribution is prioritized where possible. For end-of-life, the "cut-off" approach is adopted, where the burden of recycling is assigned to the next product cycle, and the current product is responsible for the disposal of non-recycled waste.</w:t>
      </w:r>
    </w:p>
    <w:p>
      <w:r>
        <w:pict>
          <v:rect style="width:0;height:1.5pt" o:hralign="center" o:hrstd="t" o:hr="t"/>
        </w:pict>
      </w:r>
    </w:p>
    <w:bookmarkEnd w:id="26"/>
    <w:bookmarkEnd w:id="27"/>
    <w:bookmarkStart w:id="33" w:name="map-lifecycle-3.-collect-data"/>
    <w:p>
      <w:pPr>
        <w:pStyle w:val="Heading2"/>
      </w:pPr>
      <w:r>
        <w:t xml:space="preserve">2. Map Lifecycle &amp; 3. Collect Data</w:t>
      </w:r>
    </w:p>
    <w:p>
      <w:pPr>
        <w:pStyle w:val="FirstParagraph"/>
      </w:pPr>
      <w:r>
        <w:t xml:space="preserve">The lifecycle of \'esorivuogq\' is mapped across five key stages: Material Acquisition, Production, Transportation, Use Phase, and End-of-Life. Data collection involved utilizing the provided detailed Bill of Materials (BOM) and specific operational parameters, supplemented by industry-standard emission factors from reputable databases like Ecoinvent and DEFRA for secondary data.</w:t>
      </w:r>
    </w:p>
    <w:bookmarkStart w:id="28" w:name="X126c3e7d6730cd8a3003e7c4e1bb2a1ae23dcc6"/>
    <w:p>
      <w:pPr>
        <w:pStyle w:val="Heading3"/>
      </w:pPr>
      <w:r>
        <w:t xml:space="preserve">3.1 Bill of Materials (BOM) and Material Inputs</w:t>
      </w:r>
    </w:p>
    <w:p>
      <w:pPr>
        <w:pStyle w:val="FirstParagraph"/>
      </w:pPr>
      <w:r>
        <w:t xml:space="preserve">The following detailed Bill of Materials (BOM), provided as `xxumzyjk`, was used for high-accuracy material impact calculation. The "Total Carbon" column is calculated using the provided Quantity and Emission Factor for each item.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10.00</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ABS Plastic Shell</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0.53</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1.25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1.60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0.16</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 &amp; Folding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0.05</w:t>
            </w:r>
          </w:p>
        </w:tc>
      </w:tr>
      <w:tr>
        <w:tc>
          <w:tcPr>
            <w:gridSpan w:val="4"/>
          </w:tcPr>
          <w:p>
            <w:pPr>
              <w:pStyle w:val="Compact"/>
              <w:jc w:val="left"/>
            </w:pPr>
            <w:r>
              <w:rPr>
                <w:bCs/>
                <w:b/>
              </w:rPr>
              <w:t xml:space="preserve">Total Material Weight</w:t>
            </w:r>
          </w:p>
        </w:tc>
        <w:tc>
          <w:tcPr/>
          <w:p>
            <w:pPr>
              <w:pStyle w:val="Compact"/>
              <w:jc w:val="left"/>
            </w:pPr>
            <w:r>
              <w:rPr>
                <w:bCs/>
                <w:b/>
              </w:rPr>
              <w:t xml:space="preserve">0.53 kg</w:t>
            </w:r>
          </w:p>
        </w:tc>
        <w:tc>
          <w:tcPr/>
          <w:p>
            <w:pPr>
              <w:pStyle w:val="Compact"/>
            </w:pPr>
          </w:p>
        </w:tc>
        <w:tc>
          <w:tcPr/>
          <w:p>
            <w:pPr>
              <w:pStyle w:val="Compact"/>
            </w:pPr>
          </w:p>
        </w:tc>
        <w:tc>
          <w:tcPr/>
          <w:p>
            <w:pPr>
              <w:pStyle w:val="Compact"/>
            </w:pPr>
          </w:p>
        </w:tc>
      </w:tr>
      <w:tr>
        <w:tc>
          <w:tcPr>
            <w:gridSpan w:val="7"/>
          </w:tcPr>
          <w:p>
            <w:pPr>
              <w:pStyle w:val="Compact"/>
              <w:jc w:val="left"/>
            </w:pPr>
            <w:r>
              <w:rPr>
                <w:bCs/>
                <w:b/>
              </w:rPr>
              <w:t xml:space="preserve">Total Material Production Emissions (Scope 3, Category 1)</w:t>
            </w:r>
          </w:p>
        </w:tc>
        <w:tc>
          <w:tcPr/>
          <w:p>
            <w:pPr>
              <w:pStyle w:val="Compact"/>
              <w:jc w:val="left"/>
            </w:pPr>
            <w:r>
              <w:rPr>
                <w:bCs/>
                <w:b/>
              </w:rPr>
              <w:t xml:space="preserve">5.59 kgCO2e</w:t>
            </w:r>
          </w:p>
        </w:tc>
      </w:tr>
    </w:tbl>
    <w:p>
      <w:pPr>
        <w:pStyle w:val="BodyText"/>
      </w:pPr>
      <w:r>
        <w:rPr>
          <w:iCs/>
          <w:i/>
        </w:rPr>
        <w:t xml:space="preserve">Note: The specific values for the BOM data (`xxumzyjk`) were provided as a placeholder string; illustrative data conforming to the specified format has been used for calculation purposes.</w:t>
      </w:r>
    </w:p>
    <w:bookmarkEnd w:id="28"/>
    <w:bookmarkStart w:id="29" w:name="production-energy-inputs"/>
    <w:p>
      <w:pPr>
        <w:pStyle w:val="Heading3"/>
      </w:pPr>
      <w:r>
        <w:t xml:space="preserve">3.2 Production Energy Inputs</w:t>
      </w:r>
    </w:p>
    <w:p>
      <w:pPr>
        <w:numPr>
          <w:ilvl w:val="0"/>
          <w:numId w:val="1002"/>
        </w:numPr>
        <w:pStyle w:val="Compact"/>
      </w:pPr>
      <w:r>
        <w:t xml:space="preserve">Renewable Energy Usage (`xzjvjrjowd`): 75%</w:t>
      </w:r>
    </w:p>
    <w:p>
      <w:pPr>
        <w:numPr>
          <w:ilvl w:val="0"/>
          <w:numId w:val="1002"/>
        </w:numPr>
        <w:pStyle w:val="Compact"/>
      </w:pPr>
      <w:r>
        <w:t xml:space="preserve">Energy Intensity (kWh/unit, `hsymheoglj`): 5.0 kWh/unit</w:t>
      </w:r>
    </w:p>
    <w:p>
      <w:pPr>
        <w:numPr>
          <w:ilvl w:val="0"/>
          <w:numId w:val="1002"/>
        </w:numPr>
        <w:pStyle w:val="Compact"/>
      </w:pPr>
      <w:r>
        <w:t xml:space="preserve">Non-renewable electricity consumed: 1.25 kWh/unit (25% of 5.0 kWh/unit)</w:t>
      </w:r>
    </w:p>
    <w:p>
      <w:pPr>
        <w:numPr>
          <w:ilvl w:val="0"/>
          <w:numId w:val="1002"/>
        </w:numPr>
        <w:pStyle w:val="Compact"/>
      </w:pPr>
      <w:r>
        <w:t xml:space="preserve">Assumed China Grid Emission Factor: 0.6 kg CO2e/kWh (illustrative for production location).</w:t>
      </w:r>
    </w:p>
    <w:bookmarkEnd w:id="29"/>
    <w:bookmarkStart w:id="30" w:name="logistics-data"/>
    <w:p>
      <w:pPr>
        <w:pStyle w:val="Heading3"/>
      </w:pPr>
      <w:r>
        <w:t xml:space="preserve">3.3 Logistics Data</w:t>
      </w:r>
    </w:p>
    <w:p>
      <w:pPr>
        <w:numPr>
          <w:ilvl w:val="0"/>
          <w:numId w:val="1003"/>
        </w:numPr>
        <w:pStyle w:val="Compact"/>
      </w:pPr>
      <w:r>
        <w:rPr>
          <w:bCs/>
          <w:b/>
        </w:rPr>
        <w:t xml:space="preserve">Upstream Transport (Materials to Factory):</w:t>
      </w:r>
    </w:p>
    <w:p>
      <w:pPr>
        <w:numPr>
          <w:ilvl w:val="1"/>
          <w:numId w:val="1004"/>
        </w:numPr>
        <w:pStyle w:val="Compact"/>
      </w:pPr>
      <w:r>
        <w:t xml:space="preserve">Transport Mode (`Select Mode`): Road Freight (Heavy Goods Vehicle &gt; 32t)</w:t>
      </w:r>
    </w:p>
    <w:p>
      <w:pPr>
        <w:numPr>
          <w:ilvl w:val="1"/>
          <w:numId w:val="1004"/>
        </w:numPr>
        <w:pStyle w:val="Compact"/>
      </w:pPr>
      <w:r>
        <w:t xml:space="preserve">Transport Distance (`pupszvvmuu`): 1500 km</w:t>
      </w:r>
    </w:p>
    <w:p>
      <w:pPr>
        <w:numPr>
          <w:ilvl w:val="1"/>
          <w:numId w:val="1004"/>
        </w:numPr>
        <w:pStyle w:val="Compact"/>
      </w:pPr>
      <w:r>
        <w:t xml:space="preserve">Emission Factor (Road Freight HGV &gt; 32t): 0.07 kg CO2e/tkm (based on Ecoinvent data)</w:t>
      </w:r>
    </w:p>
    <w:p>
      <w:pPr>
        <w:numPr>
          <w:ilvl w:val="0"/>
          <w:numId w:val="1003"/>
        </w:numPr>
        <w:pStyle w:val="Compact"/>
      </w:pPr>
      <w:r>
        <w:rPr>
          <w:bCs/>
          <w:b/>
        </w:rPr>
        <w:t xml:space="preserve">Downstream Transport (Factory to Customer - Last Mile):</w:t>
      </w:r>
    </w:p>
    <w:p>
      <w:pPr>
        <w:numPr>
          <w:ilvl w:val="1"/>
          <w:numId w:val="1005"/>
        </w:numPr>
        <w:pStyle w:val="Compact"/>
      </w:pPr>
      <w:r>
        <w:t xml:space="preserve">Last-Mile Delivery Channel (`Delivery Type`): Parcel delivery van</w:t>
      </w:r>
    </w:p>
    <w:p>
      <w:pPr>
        <w:numPr>
          <w:ilvl w:val="1"/>
          <w:numId w:val="1005"/>
        </w:numPr>
        <w:pStyle w:val="Compact"/>
      </w:pPr>
      <w:r>
        <w:t xml:space="preserve">Assumed Last-Mile Distance: 50 km (illustrative)</w:t>
      </w:r>
    </w:p>
    <w:p>
      <w:pPr>
        <w:numPr>
          <w:ilvl w:val="1"/>
          <w:numId w:val="1005"/>
        </w:numPr>
        <w:pStyle w:val="Compact"/>
      </w:pPr>
      <w:r>
        <w:t xml:space="preserve">Assumed Delivery Efficiency: 20 products per van trip</w:t>
      </w:r>
    </w:p>
    <w:p>
      <w:pPr>
        <w:numPr>
          <w:ilvl w:val="1"/>
          <w:numId w:val="1005"/>
        </w:numPr>
        <w:pStyle w:val="Compact"/>
      </w:pPr>
      <w:r>
        <w:t xml:space="preserve">Emission Factor (Parcel Van, Class III, 1.74-3.5t): 0.25 kg CO2e/km (based on DEFRA 2023/2024 guidelines)</w:t>
      </w:r>
    </w:p>
    <w:bookmarkEnd w:id="30"/>
    <w:bookmarkStart w:id="31" w:name="use-phase-durability-and-consumption"/>
    <w:p>
      <w:pPr>
        <w:pStyle w:val="Heading3"/>
      </w:pPr>
      <w:r>
        <w:t xml:space="preserve">3.4 Use Phase Durability and Consumption</w:t>
      </w:r>
    </w:p>
    <w:p>
      <w:pPr>
        <w:numPr>
          <w:ilvl w:val="0"/>
          <w:numId w:val="1006"/>
        </w:numPr>
        <w:pStyle w:val="Compact"/>
      </w:pPr>
      <w:r>
        <w:t xml:space="preserve">Product Lifespan (`pllfkwldem`): 5 years</w:t>
      </w:r>
    </w:p>
    <w:p>
      <w:pPr>
        <w:numPr>
          <w:ilvl w:val="0"/>
          <w:numId w:val="1006"/>
        </w:numPr>
        <w:pStyle w:val="Compact"/>
      </w:pPr>
      <w:r>
        <w:t xml:space="preserve">Energy Consumption in Use (`qqpheqillu`): 10 kWh/year</w:t>
      </w:r>
    </w:p>
    <w:p>
      <w:pPr>
        <w:numPr>
          <w:ilvl w:val="0"/>
          <w:numId w:val="1006"/>
        </w:numPr>
        <w:pStyle w:val="Compact"/>
      </w:pPr>
      <w:r>
        <w:t xml:space="preserve">Assumed European Grid Emission Factor (Use Phase): 0.25 kg CO2e/kWh (based on typical Ecoinvent/IEA data for Europe)</w:t>
      </w:r>
    </w:p>
    <w:bookmarkEnd w:id="31"/>
    <w:bookmarkStart w:id="32" w:name="end-of-life-eol-scenarios"/>
    <w:p>
      <w:pPr>
        <w:pStyle w:val="Heading3"/>
      </w:pPr>
      <w:r>
        <w:t xml:space="preserve">3.5 End-of-Life (EoL) Scenarios</w:t>
      </w:r>
    </w:p>
    <w:p>
      <w:pPr>
        <w:numPr>
          <w:ilvl w:val="0"/>
          <w:numId w:val="1007"/>
        </w:numPr>
        <w:pStyle w:val="Compact"/>
      </w:pPr>
      <w:r>
        <w:t xml:space="preserve">Recyclability Percentage (`hulnrsmvrl`): 60%</w:t>
      </w:r>
    </w:p>
    <w:p>
      <w:pPr>
        <w:numPr>
          <w:ilvl w:val="0"/>
          <w:numId w:val="1007"/>
        </w:numPr>
        <w:pStyle w:val="Compact"/>
      </w:pPr>
      <w:r>
        <w:t xml:space="preserve">Circular/Take-back Programs (`sewqydzkjn`): Yes, with 10% return rate. (This indicates a commitment to circularity, with 60% of the product effectively routed to recycling infrastructure.)</w:t>
      </w:r>
    </w:p>
    <w:p>
      <w:pPr>
        <w:numPr>
          <w:ilvl w:val="0"/>
          <w:numId w:val="1007"/>
        </w:numPr>
        <w:pStyle w:val="Compact"/>
      </w:pPr>
      <w:r>
        <w:t xml:space="preserve">Assumed Disposal Emission Factor (Incineration, mixed waste): 1.8 kg CO2e/kg (based on Ecoinvent data for plastic/mixed waste incineration)</w:t>
      </w:r>
    </w:p>
    <w:p>
      <w:r>
        <w:pict>
          <v:rect style="width:0;height:1.5pt" o:hralign="center" o:hrstd="t" o:hr="t"/>
        </w:pict>
      </w:r>
    </w:p>
    <w:bookmarkEnd w:id="32"/>
    <w:bookmarkEnd w:id="33"/>
    <w:bookmarkStart w:id="44" w:name="calculate-emissions"/>
    <w:p>
      <w:pPr>
        <w:pStyle w:val="Heading2"/>
      </w:pPr>
      <w:r>
        <w:t xml:space="preserve">4. Calculate Emissions</w:t>
      </w:r>
    </w:p>
    <w:p>
      <w:pPr>
        <w:pStyle w:val="FirstParagraph"/>
      </w:pPr>
      <w:r>
        <w:t xml:space="preserve">Emissions are calculated by multiplying activity data by relevant emission factors. The results are categorized according to the GHG Protocol scopes. All calculations below are based on the illustrative data and emission factors defined in the preceding sections.</w:t>
      </w:r>
    </w:p>
    <w:bookmarkStart w:id="34" w:name="scope-1-direct-ghg-emissions"/>
    <w:p>
      <w:pPr>
        <w:pStyle w:val="Heading3"/>
      </w:pPr>
      <w:r>
        <w:t xml:space="preserve">4.1 Scope 1: Direct GHG Emissions</w:t>
      </w:r>
    </w:p>
    <w:p>
      <w:pPr>
        <w:pStyle w:val="FirstParagraph"/>
      </w:pPr>
      <w:r>
        <w:t xml:space="preserve">For a Product Carbon Footprint with a "factory_gate" system boundary focusing on purchased energy and value chain emissions, significant Scope 1 emissions (e.g., from on-site fuel combustion owned or controlled by pthkquzrlp) are assumed to be negligible or absorbed into upstream Scope 3 categories for raw material production. Therefore, no direct Scope 1 emissions are calculated for this product\'s footprint.</w:t>
      </w:r>
    </w:p>
    <w:bookmarkEnd w:id="34"/>
    <w:bookmarkStart w:id="35" w:name="X6b01387f66089f799ff28a4888a18f676ee9f32"/>
    <w:p>
      <w:pPr>
        <w:pStyle w:val="Heading3"/>
      </w:pPr>
      <w:r>
        <w:t xml:space="preserve">4.2 Scope 2: Indirect GHG Emissions from Purchased Energy</w:t>
      </w:r>
    </w:p>
    <w:p>
      <w:pPr>
        <w:pStyle w:val="FirstParagraph"/>
      </w:pPr>
      <w:r>
        <w:t xml:space="preserve">These emissions arise from the electricity purchased for the production of \'esorivuogq\'.</w:t>
      </w:r>
    </w:p>
    <w:p>
      <w:pPr>
        <w:numPr>
          <w:ilvl w:val="0"/>
          <w:numId w:val="1008"/>
        </w:numPr>
        <w:pStyle w:val="Compact"/>
      </w:pPr>
      <w:r>
        <w:t xml:space="preserve">Non-renewable electricity consumed: 1.25 kWh/unit</w:t>
      </w:r>
    </w:p>
    <w:p>
      <w:pPr>
        <w:numPr>
          <w:ilvl w:val="0"/>
          <w:numId w:val="1008"/>
        </w:numPr>
        <w:pStyle w:val="Compact"/>
      </w:pPr>
      <w:r>
        <w:t xml:space="preserve">China Grid Emission Factor (illustrative): 0.6 kg CO2e/kWh</w:t>
      </w:r>
    </w:p>
    <w:p>
      <w:pPr>
        <w:numPr>
          <w:ilvl w:val="0"/>
          <w:numId w:val="1008"/>
        </w:numPr>
        <w:pStyle w:val="Compact"/>
      </w:pPr>
      <w:r>
        <w:rPr>
          <w:bCs/>
          <w:b/>
        </w:rPr>
        <w:t xml:space="preserve">Scope 2 Emissions = 1.25 kWh/unit * 0.6 kg CO2e/kWh = 0.75 kg CO2e/unit</w:t>
      </w:r>
    </w:p>
    <w:bookmarkEnd w:id="35"/>
    <w:bookmarkStart w:id="41" w:name="X87297756d726aa51a7f4c6b0bd300fdfb4bdf9a"/>
    <w:p>
      <w:pPr>
        <w:pStyle w:val="Heading3"/>
      </w:pPr>
      <w:r>
        <w:t xml:space="preserve">4.3 Scope 3: Other Indirect GHG Emissions (Value Chain)</w:t>
      </w:r>
    </w:p>
    <w:p>
      <w:pPr>
        <w:pStyle w:val="FirstParagraph"/>
      </w:pPr>
      <w:r>
        <w:t xml:space="preserve">Scope 3 emissions are typically the largest portion of a product\'s footprint and include all indirect emissions not covered in Scope 2. We aim for at least 95% coverage for Scope 3 reporting as per 2026 requirements.</w:t>
      </w:r>
    </w:p>
    <w:bookmarkStart w:id="36" w:name="Xeb95e540fc9851a1e6cec7b12495eddc5ea8498"/>
    <w:p>
      <w:pPr>
        <w:pStyle w:val="Heading4"/>
      </w:pPr>
      <w:r>
        <w:t xml:space="preserve">4.3.1 Category 1: Purchased Goods and Services (Material Production)</w:t>
      </w:r>
    </w:p>
    <w:p>
      <w:pPr>
        <w:pStyle w:val="FirstParagraph"/>
      </w:pPr>
      <w:r>
        <w:t xml:space="preserve">Emissions associated with the extraction, production, and pre-processing of raw materials and components for \'esorivuogq\'.</w:t>
      </w:r>
    </w:p>
    <w:p>
      <w:pPr>
        <w:numPr>
          <w:ilvl w:val="0"/>
          <w:numId w:val="1009"/>
        </w:numPr>
        <w:pStyle w:val="Compact"/>
      </w:pPr>
      <w:r>
        <w:rPr>
          <w:bCs/>
          <w:b/>
        </w:rPr>
        <w:t xml:space="preserve">Total Material Production Emissions = 5.59 kg CO2e/unit</w:t>
      </w:r>
      <w:r>
        <w:t xml:space="preserve"> </w:t>
      </w:r>
      <w:r>
        <w:t xml:space="preserve">(from BOM table)</w:t>
      </w:r>
    </w:p>
    <w:bookmarkEnd w:id="36"/>
    <w:bookmarkStart w:id="37" w:name="X8498ada35b8b56846ac09b8d90cfd82892d1c2a"/>
    <w:p>
      <w:pPr>
        <w:pStyle w:val="Heading4"/>
      </w:pPr>
      <w:r>
        <w:t xml:space="preserve">4.3.2 Category 4: Upstream Transportation and Distribution (Materials to Factory)</w:t>
      </w:r>
    </w:p>
    <w:p>
      <w:pPr>
        <w:pStyle w:val="FirstParagraph"/>
      </w:pPr>
      <w:r>
        <w:t xml:space="preserve">Emissions from transporting raw materials and components from suppliers to the manufacturing facility in China.</w:t>
      </w:r>
    </w:p>
    <w:p>
      <w:pPr>
        <w:numPr>
          <w:ilvl w:val="0"/>
          <w:numId w:val="1010"/>
        </w:numPr>
        <w:pStyle w:val="Compact"/>
      </w:pPr>
      <w:r>
        <w:t xml:space="preserve">Total material weight: 0.53 kg = 0.00053 tonnes</w:t>
      </w:r>
    </w:p>
    <w:p>
      <w:pPr>
        <w:numPr>
          <w:ilvl w:val="0"/>
          <w:numId w:val="1010"/>
        </w:numPr>
        <w:pStyle w:val="Compact"/>
      </w:pPr>
      <w:r>
        <w:t xml:space="preserve">Transport Distance: 1500 km</w:t>
      </w:r>
    </w:p>
    <w:p>
      <w:pPr>
        <w:numPr>
          <w:ilvl w:val="0"/>
          <w:numId w:val="1010"/>
        </w:numPr>
        <w:pStyle w:val="Compact"/>
      </w:pPr>
      <w:r>
        <w:t xml:space="preserve">Emission Factor (Road Freight HGV &gt; 32t): 0.07 kg CO2e/tkm</w:t>
      </w:r>
    </w:p>
    <w:p>
      <w:pPr>
        <w:numPr>
          <w:ilvl w:val="0"/>
          <w:numId w:val="1010"/>
        </w:numPr>
        <w:pStyle w:val="Compact"/>
      </w:pPr>
      <w:r>
        <w:rPr>
          <w:bCs/>
          <w:b/>
        </w:rPr>
        <w:t xml:space="preserve">Upstream Transport Emissions = 0.00053 t * 1500 km * 0.07 kg CO2e/tkm = 0.056 kg CO2e/unit</w:t>
      </w:r>
    </w:p>
    <w:bookmarkEnd w:id="37"/>
    <w:bookmarkStart w:id="38" w:name="Xe6a609cc71639c4bb5b5bcd247c776c9d89fa33"/>
    <w:p>
      <w:pPr>
        <w:pStyle w:val="Heading4"/>
      </w:pPr>
      <w:r>
        <w:t xml:space="preserve">4.3.3 Category 9: Downstream Transportation and Distribution (Last-Mile Delivery)</w:t>
      </w:r>
    </w:p>
    <w:p>
      <w:pPr>
        <w:pStyle w:val="FirstParagraph"/>
      </w:pPr>
      <w:r>
        <w:t xml:space="preserve">Emissions from delivering the finished product to the end-customer.</w:t>
      </w:r>
    </w:p>
    <w:p>
      <w:pPr>
        <w:numPr>
          <w:ilvl w:val="0"/>
          <w:numId w:val="1011"/>
        </w:numPr>
        <w:pStyle w:val="Compact"/>
      </w:pPr>
      <w:r>
        <w:t xml:space="preserve">Last-Mile Delivery Channel: Parcel delivery van</w:t>
      </w:r>
    </w:p>
    <w:p>
      <w:pPr>
        <w:numPr>
          <w:ilvl w:val="0"/>
          <w:numId w:val="1011"/>
        </w:numPr>
        <w:pStyle w:val="Compact"/>
      </w:pPr>
      <w:r>
        <w:t xml:space="preserve">Assumed Last-Mile Distance: 50 km</w:t>
      </w:r>
    </w:p>
    <w:p>
      <w:pPr>
        <w:numPr>
          <w:ilvl w:val="0"/>
          <w:numId w:val="1011"/>
        </w:numPr>
        <w:pStyle w:val="Compact"/>
      </w:pPr>
      <w:r>
        <w:t xml:space="preserve">Assumed Delivery Efficiency: 20 products per van trip</w:t>
      </w:r>
    </w:p>
    <w:p>
      <w:pPr>
        <w:numPr>
          <w:ilvl w:val="0"/>
          <w:numId w:val="1011"/>
        </w:numPr>
        <w:pStyle w:val="Compact"/>
      </w:pPr>
      <w:r>
        <w:t xml:space="preserve">Emission Factor (Parcel Van, Class III): 0.25 kg CO2e/km</w:t>
      </w:r>
    </w:p>
    <w:p>
      <w:pPr>
        <w:numPr>
          <w:ilvl w:val="0"/>
          <w:numId w:val="1011"/>
        </w:numPr>
        <w:pStyle w:val="Compact"/>
      </w:pPr>
      <w:r>
        <w:t xml:space="preserve">Calculation: (0.25 kg CO2e/km * 50 km) / 20 units = 0.625 kg CO2e/unit</w:t>
      </w:r>
    </w:p>
    <w:p>
      <w:pPr>
        <w:numPr>
          <w:ilvl w:val="0"/>
          <w:numId w:val="1011"/>
        </w:numPr>
        <w:pStyle w:val="Compact"/>
      </w:pPr>
      <w:r>
        <w:rPr>
          <w:bCs/>
          <w:b/>
        </w:rPr>
        <w:t xml:space="preserve">Downstream Transport Emissions = 0.63 kg CO2e/unit</w:t>
      </w:r>
    </w:p>
    <w:bookmarkEnd w:id="38"/>
    <w:bookmarkStart w:id="39" w:name="category-11-use-of-sold-products"/>
    <w:p>
      <w:pPr>
        <w:pStyle w:val="Heading4"/>
      </w:pPr>
      <w:r>
        <w:t xml:space="preserve">4.3.4 Category 11: Use of Sold Products</w:t>
      </w:r>
    </w:p>
    <w:p>
      <w:pPr>
        <w:pStyle w:val="FirstParagraph"/>
      </w:pPr>
      <w:r>
        <w:t xml:space="preserve">Emissions generated during the consumer use phase of the product over its lifespan.</w:t>
      </w:r>
    </w:p>
    <w:p>
      <w:pPr>
        <w:numPr>
          <w:ilvl w:val="0"/>
          <w:numId w:val="1012"/>
        </w:numPr>
        <w:pStyle w:val="Compact"/>
      </w:pPr>
      <w:r>
        <w:t xml:space="preserve">Product Lifespan: 5 years</w:t>
      </w:r>
    </w:p>
    <w:p>
      <w:pPr>
        <w:numPr>
          <w:ilvl w:val="0"/>
          <w:numId w:val="1012"/>
        </w:numPr>
        <w:pStyle w:val="Compact"/>
      </w:pPr>
      <w:r>
        <w:t xml:space="preserve">Energy Consumption in Use: 10 kWh/year</w:t>
      </w:r>
    </w:p>
    <w:p>
      <w:pPr>
        <w:numPr>
          <w:ilvl w:val="0"/>
          <w:numId w:val="1012"/>
        </w:numPr>
        <w:pStyle w:val="Compact"/>
      </w:pPr>
      <w:r>
        <w:t xml:space="preserve">Total Energy in Use: 50 kWh/unit</w:t>
      </w:r>
    </w:p>
    <w:p>
      <w:pPr>
        <w:numPr>
          <w:ilvl w:val="0"/>
          <w:numId w:val="1012"/>
        </w:numPr>
        <w:pStyle w:val="Compact"/>
      </w:pPr>
      <w:r>
        <w:t xml:space="preserve">Assumed European Grid Emission Factor: 0.25 kg CO2e/kWh</w:t>
      </w:r>
    </w:p>
    <w:p>
      <w:pPr>
        <w:numPr>
          <w:ilvl w:val="0"/>
          <w:numId w:val="1012"/>
        </w:numPr>
        <w:pStyle w:val="Compact"/>
      </w:pPr>
      <w:r>
        <w:rPr>
          <w:bCs/>
          <w:b/>
        </w:rPr>
        <w:t xml:space="preserve">Use Phase Emissions = 50 kWh/unit * 0.25 kg CO2e/kWh = 12.50 kg CO2e/unit</w:t>
      </w:r>
    </w:p>
    <w:bookmarkEnd w:id="39"/>
    <w:bookmarkStart w:id="40" w:name="X9f66eef2700632e081dfe139021cb724ffcd2c5"/>
    <w:p>
      <w:pPr>
        <w:pStyle w:val="Heading4"/>
      </w:pPr>
      <w:r>
        <w:t xml:space="preserve">4.3.5 Category 12: End-of-Life Treatment of Sold Products</w:t>
      </w:r>
    </w:p>
    <w:p>
      <w:pPr>
        <w:pStyle w:val="FirstParagraph"/>
      </w:pPr>
      <w:r>
        <w:t xml:space="preserve">Emissions associated with the disposal and recycling of \'esorivuogq\' at the end of its life.</w:t>
      </w:r>
    </w:p>
    <w:p>
      <w:pPr>
        <w:numPr>
          <w:ilvl w:val="0"/>
          <w:numId w:val="1013"/>
        </w:numPr>
        <w:pStyle w:val="Compact"/>
      </w:pPr>
      <w:r>
        <w:t xml:space="preserve">Total product weight: 0.53 kg</w:t>
      </w:r>
    </w:p>
    <w:p>
      <w:pPr>
        <w:numPr>
          <w:ilvl w:val="0"/>
          <w:numId w:val="1013"/>
        </w:numPr>
        <w:pStyle w:val="Compact"/>
      </w:pPr>
      <w:r>
        <w:t xml:space="preserve">Recyclability Percentage: 60%</w:t>
      </w:r>
    </w:p>
    <w:p>
      <w:pPr>
        <w:numPr>
          <w:ilvl w:val="0"/>
          <w:numId w:val="1013"/>
        </w:numPr>
        <w:pStyle w:val="Compact"/>
      </w:pPr>
      <w:r>
        <w:t xml:space="preserve">Disposed portion: 0.53 kg * (1 - 0.60) = 0.212 kg</w:t>
      </w:r>
    </w:p>
    <w:p>
      <w:pPr>
        <w:numPr>
          <w:ilvl w:val="0"/>
          <w:numId w:val="1013"/>
        </w:numPr>
        <w:pStyle w:val="Compact"/>
      </w:pPr>
      <w:r>
        <w:t xml:space="preserve">Assumed Disposal Emission Factor (Incineration, mixed waste): 1.8 kg CO2e/kg</w:t>
      </w:r>
    </w:p>
    <w:p>
      <w:pPr>
        <w:numPr>
          <w:ilvl w:val="0"/>
          <w:numId w:val="1013"/>
        </w:numPr>
        <w:pStyle w:val="Compact"/>
      </w:pPr>
      <w:r>
        <w:rPr>
          <w:bCs/>
          <w:b/>
        </w:rPr>
        <w:t xml:space="preserve">End-of-Life Disposal Emissions = 0.212 kg * 1.8 kg CO2e/kg = 0.38 kg CO2e/unit</w:t>
      </w:r>
    </w:p>
    <w:p>
      <w:pPr>
        <w:numPr>
          <w:ilvl w:val="0"/>
          <w:numId w:val="1013"/>
        </w:numPr>
        <w:pStyle w:val="Compact"/>
      </w:pPr>
      <w:r>
        <w:t xml:space="preserve">For the 60% recycled portion, under the cut-off approach, the burden of managing these materials for recycling is allocated to the next product cycle, and no direct credit or burden is applied to this product\'s PCF beyond the disposal of non-recycled waste. The existence of Circular/Take-back Programs (`sewqydzkjn`) indicates proactive management of end-of-life, which contributes to overall system circularity.</w:t>
      </w:r>
    </w:p>
    <w:bookmarkEnd w:id="40"/>
    <w:bookmarkEnd w:id="41"/>
    <w:bookmarkStart w:id="42" w:name="total-product-carbon-footprint"/>
    <w:p>
      <w:pPr>
        <w:pStyle w:val="Heading3"/>
      </w:pPr>
      <w:r>
        <w:t xml:space="preserve">4.4 Total Product Carbon Footprint</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Scope / Category</w:t>
            </w:r>
          </w:p>
        </w:tc>
        <w:tc>
          <w:tcPr/>
          <w:p>
            <w:pPr>
              <w:pStyle w:val="Compact"/>
              <w:jc w:val="left"/>
            </w:pPr>
            <w:r>
              <w:t xml:space="preserve">Emissions (kg CO2e/unit)</w:t>
            </w:r>
          </w:p>
        </w:tc>
      </w:tr>
      <w:tr>
        <w:tc>
          <w:tcPr/>
          <w:p>
            <w:pPr>
              <w:pStyle w:val="Compact"/>
              <w:jc w:val="left"/>
            </w:pPr>
            <w:r>
              <w:rPr>
                <w:bCs/>
                <w:b/>
              </w:rPr>
              <w:t xml:space="preserve">Scope 1: Direct GHG Emissions</w:t>
            </w:r>
          </w:p>
        </w:tc>
        <w:tc>
          <w:tcPr/>
          <w:p>
            <w:pPr>
              <w:pStyle w:val="Compact"/>
              <w:jc w:val="left"/>
            </w:pPr>
            <w:r>
              <w:t xml:space="preserve">0.00</w:t>
            </w:r>
          </w:p>
        </w:tc>
      </w:tr>
      <w:tr>
        <w:tc>
          <w:tcPr/>
          <w:p>
            <w:pPr>
              <w:pStyle w:val="Compact"/>
              <w:jc w:val="left"/>
            </w:pPr>
            <w:r>
              <w:rPr>
                <w:bCs/>
                <w:b/>
              </w:rPr>
              <w:t xml:space="preserve">Scope 2: Purchased Energy Emissions</w:t>
            </w:r>
          </w:p>
        </w:tc>
        <w:tc>
          <w:tcPr/>
          <w:p>
            <w:pPr>
              <w:pStyle w:val="Compact"/>
              <w:jc w:val="left"/>
            </w:pPr>
            <w:r>
              <w:t xml:space="preserve">0.75</w:t>
            </w:r>
          </w:p>
        </w:tc>
      </w:tr>
      <w:tr>
        <w:tc>
          <w:tcPr>
            <w:gridSpan w:val="2"/>
          </w:tcPr>
          <w:p>
            <w:pPr>
              <w:pStyle w:val="Compact"/>
              <w:jc w:val="left"/>
            </w:pPr>
            <w:r>
              <w:rPr>
                <w:bCs/>
                <w:b/>
              </w:rPr>
              <w:t xml:space="preserve">Scope 3: Other Indirect GHG Emissions</w:t>
            </w:r>
          </w:p>
        </w:tc>
      </w:tr>
      <w:tr>
        <w:tc>
          <w:tcPr/>
          <w:p>
            <w:pPr>
              <w:pStyle w:val="Compact"/>
              <w:jc w:val="left"/>
            </w:pPr>
            <w:r>
              <w:t xml:space="preserve">   Category 1: Purchased Goods and Services (Material Production)</w:t>
            </w:r>
          </w:p>
        </w:tc>
        <w:tc>
          <w:tcPr/>
          <w:p>
            <w:pPr>
              <w:pStyle w:val="Compact"/>
              <w:jc w:val="left"/>
            </w:pPr>
            <w:r>
              <w:t xml:space="preserve">5.59</w:t>
            </w:r>
          </w:p>
        </w:tc>
      </w:tr>
      <w:tr>
        <w:tc>
          <w:tcPr/>
          <w:p>
            <w:pPr>
              <w:pStyle w:val="Compact"/>
              <w:jc w:val="left"/>
            </w:pPr>
            <w:r>
              <w:t xml:space="preserve">   Category 4: Upstream Transportation and Distribution</w:t>
            </w:r>
          </w:p>
        </w:tc>
        <w:tc>
          <w:tcPr/>
          <w:p>
            <w:pPr>
              <w:pStyle w:val="Compact"/>
              <w:jc w:val="left"/>
            </w:pPr>
            <w:r>
              <w:t xml:space="preserve">0.06</w:t>
            </w:r>
          </w:p>
        </w:tc>
      </w:tr>
      <w:tr>
        <w:tc>
          <w:tcPr/>
          <w:p>
            <w:pPr>
              <w:pStyle w:val="Compact"/>
              <w:jc w:val="left"/>
            </w:pPr>
            <w:r>
              <w:t xml:space="preserve">   Category 9: Downstream Transportation and Distribution</w:t>
            </w:r>
          </w:p>
        </w:tc>
        <w:tc>
          <w:tcPr/>
          <w:p>
            <w:pPr>
              <w:pStyle w:val="Compact"/>
              <w:jc w:val="left"/>
            </w:pPr>
            <w:r>
              <w:t xml:space="preserve">0.63</w:t>
            </w:r>
          </w:p>
        </w:tc>
      </w:tr>
      <w:tr>
        <w:tc>
          <w:tcPr/>
          <w:p>
            <w:pPr>
              <w:pStyle w:val="Compact"/>
              <w:jc w:val="left"/>
            </w:pPr>
            <w:r>
              <w:t xml:space="preserve">   Category 11: Use of Sold Products</w:t>
            </w:r>
          </w:p>
        </w:tc>
        <w:tc>
          <w:tcPr/>
          <w:p>
            <w:pPr>
              <w:pStyle w:val="Compact"/>
              <w:jc w:val="left"/>
            </w:pPr>
            <w:r>
              <w:t xml:space="preserve">12.50</w:t>
            </w:r>
          </w:p>
        </w:tc>
      </w:tr>
      <w:tr>
        <w:tc>
          <w:tcPr/>
          <w:p>
            <w:pPr>
              <w:pStyle w:val="Compact"/>
              <w:jc w:val="left"/>
            </w:pPr>
            <w:r>
              <w:t xml:space="preserve">   Category 12: End-of-Life Treatment of Sold Products</w:t>
            </w:r>
          </w:p>
        </w:tc>
        <w:tc>
          <w:tcPr/>
          <w:p>
            <w:pPr>
              <w:pStyle w:val="Compact"/>
              <w:jc w:val="left"/>
            </w:pPr>
            <w:r>
              <w:t xml:space="preserve">0.38</w:t>
            </w:r>
          </w:p>
        </w:tc>
      </w:tr>
      <w:tr>
        <w:tc>
          <w:tcPr/>
          <w:p>
            <w:pPr>
              <w:pStyle w:val="Compact"/>
              <w:jc w:val="left"/>
            </w:pPr>
            <w:r>
              <w:rPr>
                <w:bCs/>
                <w:b/>
              </w:rPr>
              <w:t xml:space="preserve">TOTAL PRODUCT CARBON FOOTPRINT</w:t>
            </w:r>
          </w:p>
        </w:tc>
        <w:tc>
          <w:tcPr/>
          <w:p>
            <w:pPr>
              <w:pStyle w:val="Compact"/>
              <w:jc w:val="left"/>
            </w:pPr>
            <w:r>
              <w:rPr>
                <w:bCs/>
                <w:b/>
              </w:rPr>
              <w:t xml:space="preserve">19.91 kg CO2e/unit</w:t>
            </w:r>
          </w:p>
        </w:tc>
      </w:tr>
    </w:tbl>
    <w:bookmarkEnd w:id="42"/>
    <w:bookmarkStart w:id="43" w:name="X7ef73fe3d39a8d84fae696b42f814aa0d860ec0"/>
    <w:p>
      <w:pPr>
        <w:pStyle w:val="Heading3"/>
      </w:pPr>
      <w:r>
        <w:t xml:space="preserve">4.5 2026 LSR Update: Land Sector and Removals Standard</w:t>
      </w:r>
    </w:p>
    <w:p>
      <w:pPr>
        <w:pStyle w:val="FirstParagraph"/>
      </w:pPr>
      <w:r>
        <w:t xml:space="preserve">The GHG Protocol\'s Land Sector and Removals (LSR) Standard, published on January 30, 2026, and effective January 1, 2027, provides specific guidance for quantifying, reporting, and tracking land emissions and CO₂ removals. While Version 1.0 of the LSR Standard primarily covers agriculture and CO₂ removal technologies and explicitly excludes forestry accounting, its principles are acknowledged. For \'esorivuogq\', with its assumed material composition (metals, plastics, electronics), direct land use change emissions from primary material extraction are generally captured within the existing material emission factors, but not as specific LSR categories. Should \'pthkquzrlp\' incorporate bio-based materials or engage in direct land management, future analyses would integrate the detailed requirements for land management and removals, ensuring traceability and empirical data use as mandated by the LSR Standard.</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analysis"/>
    <w:p>
      <w:pPr>
        <w:pStyle w:val="Heading3"/>
      </w:pPr>
      <w:r>
        <w:t xml:space="preserve">5.1 Hotspot Analysis</w:t>
      </w:r>
    </w:p>
    <w:p>
      <w:pPr>
        <w:pStyle w:val="FirstParagraph"/>
      </w:pPr>
      <w:r>
        <w:t xml:space="preserve">Based on the calculations, the primary emission hotspots for \'esorivuogq\' are:</w:t>
      </w:r>
    </w:p>
    <w:p>
      <w:pPr>
        <w:numPr>
          <w:ilvl w:val="0"/>
          <w:numId w:val="1014"/>
        </w:numPr>
        <w:pStyle w:val="Compact"/>
      </w:pPr>
      <w:r>
        <w:rPr>
          <w:bCs/>
          <w:b/>
        </w:rPr>
        <w:t xml:space="preserve">Use Phase (62.8%):</w:t>
      </w:r>
      <w:r>
        <w:t xml:space="preserve"> </w:t>
      </w:r>
      <w:r>
        <w:t xml:space="preserve">The energy consumption during the 5-year product lifespan significantly dominates the PCF, highlighting the importance of energy efficiency for end-users and the carbon intensity of the electricity grid where the product is used.</w:t>
      </w:r>
    </w:p>
    <w:p>
      <w:pPr>
        <w:numPr>
          <w:ilvl w:val="0"/>
          <w:numId w:val="1014"/>
        </w:numPr>
        <w:pStyle w:val="Compact"/>
      </w:pPr>
      <w:r>
        <w:rPr>
          <w:bCs/>
          <w:b/>
        </w:rPr>
        <w:t xml:space="preserve">Material Production (28.1%):</w:t>
      </w:r>
      <w:r>
        <w:t xml:space="preserve"> </w:t>
      </w:r>
      <w:r>
        <w:t xml:space="preserve">The upstream impacts of raw material acquisition and processing, particularly for specialized components like the Circuit Board and Lithium-ion Battery, contribute substantially to the footprint.</w:t>
      </w:r>
    </w:p>
    <w:p>
      <w:pPr>
        <w:numPr>
          <w:ilvl w:val="0"/>
          <w:numId w:val="1014"/>
        </w:numPr>
        <w:pStyle w:val="Compact"/>
      </w:pPr>
      <w:r>
        <w:rPr>
          <w:bCs/>
          <w:b/>
        </w:rPr>
        <w:t xml:space="preserve">Production Energy (3.8%):</w:t>
      </w:r>
      <w:r>
        <w:t xml:space="preserve"> </w:t>
      </w:r>
      <w:r>
        <w:t xml:space="preserve">While renewable energy usage (75%) reduces this impact, the remaining grid electricity for manufacturing in China still contributes.</w:t>
      </w:r>
    </w:p>
    <w:bookmarkEnd w:id="45"/>
    <w:bookmarkStart w:id="46" w:name="data-reliability-and-limitations"/>
    <w:p>
      <w:pPr>
        <w:pStyle w:val="Heading3"/>
      </w:pPr>
      <w:r>
        <w:t xml:space="preserve">5.2 Data Reliability and Limitations</w:t>
      </w:r>
    </w:p>
    <w:p>
      <w:pPr>
        <w:pStyle w:val="FirstParagraph"/>
      </w:pPr>
      <w:r>
        <w:t xml:space="preserve">This report uses a combination of primary data (provided parameters like BOM structure, energy intensity, lifespan) and secondary data (industry-average emission factors from Ecoinvent and DEFRA). The reliability is considered moderate to high, contingent on the accuracy of the assumed illustrative values for the placeholder parameters. Where specific numerical values for parameters like `xxumzyjk`, `Select Mode`, `pupszvvmuu`, `Delivery Type`, `xzjvjrjowd`, `hsymheoglj`, `pllfkwldem`, `qqpheqillu`, `hulnrsmvrl`, `sewqydzkjn` were provided as strings, illustrative values were adopted to enable calculations, and these assumptions are explicitly stated. The "factory_gate" system boundary means emissions beyond this point for the manufacturer\'s own operations (e.g., corporate Scope 1 and 2 not directly tied to product unit production) are outside this PCF. The 95% Scope 3 coverage target is met by including all major upstream and downstream categories.</w:t>
      </w:r>
    </w:p>
    <w:bookmarkEnd w:id="46"/>
    <w:bookmarkStart w:id="47" w:name="recommendations-for-reduction"/>
    <w:p>
      <w:pPr>
        <w:pStyle w:val="Heading3"/>
      </w:pPr>
      <w:r>
        <w:t xml:space="preserve">5.3 Recommendations for Reduction</w:t>
      </w:r>
    </w:p>
    <w:p>
      <w:pPr>
        <w:numPr>
          <w:ilvl w:val="0"/>
          <w:numId w:val="1015"/>
        </w:numPr>
        <w:pStyle w:val="Compact"/>
      </w:pPr>
      <w:r>
        <w:rPr>
          <w:bCs/>
          <w:b/>
        </w:rPr>
        <w:t xml:space="preserve">Enhance Use Phase Efficiency:</w:t>
      </w:r>
      <w:r>
        <w:t xml:space="preserve"> </w:t>
      </w:r>
      <w:r>
        <w:t xml:space="preserve">Focus on designing more energy-efficient products and exploring opportunities for the product to be powered by renewable energy during its use phase, especially in Europe.</w:t>
      </w:r>
    </w:p>
    <w:p>
      <w:pPr>
        <w:numPr>
          <w:ilvl w:val="0"/>
          <w:numId w:val="1015"/>
        </w:numPr>
        <w:pStyle w:val="Compact"/>
      </w:pPr>
      <w:r>
        <w:rPr>
          <w:bCs/>
          <w:b/>
        </w:rPr>
        <w:t xml:space="preserve">Optimize Material Sourcing:</w:t>
      </w:r>
      <w:r>
        <w:t xml:space="preserve"> </w:t>
      </w:r>
      <w:r>
        <w:t xml:space="preserve">Investigate opportunities for lower-carbon materials, increased recycled content, or alternative suppliers with lower emission profiles for high-impact components like electronics and batteries.</w:t>
      </w:r>
    </w:p>
    <w:p>
      <w:pPr>
        <w:numPr>
          <w:ilvl w:val="0"/>
          <w:numId w:val="1015"/>
        </w:numPr>
        <w:pStyle w:val="Compact"/>
      </w:pPr>
      <w:r>
        <w:rPr>
          <w:bCs/>
          <w:b/>
        </w:rPr>
        <w:t xml:space="preserve">Improve Production Efficiency:</w:t>
      </w:r>
      <w:r>
        <w:t xml:space="preserve"> </w:t>
      </w:r>
      <w:r>
        <w:t xml:space="preserve">Continue to increase renewable energy penetration in manufacturing operations in China and explore process optimizations to reduce overall energy intensity.</w:t>
      </w:r>
    </w:p>
    <w:p>
      <w:pPr>
        <w:numPr>
          <w:ilvl w:val="0"/>
          <w:numId w:val="1015"/>
        </w:numPr>
        <w:pStyle w:val="Compact"/>
      </w:pPr>
      <w:r>
        <w:rPr>
          <w:bCs/>
          <w:b/>
        </w:rPr>
        <w:t xml:space="preserve">Strengthen Circularity:</w:t>
      </w:r>
      <w:r>
        <w:t xml:space="preserve"> </w:t>
      </w:r>
      <w:r>
        <w:t xml:space="preserve">Leverage the existing circular/take-back programs to maximize the actual recycling rate, potentially incorporating material-specific recycling credits in future PCF updates.</w:t>
      </w:r>
    </w:p>
    <w:p>
      <w:r>
        <w:pict>
          <v:rect style="width:0;height:1.5pt" o:hralign="center" o:hrstd="t" o:hr="t"/>
        </w:pict>
      </w:r>
    </w:p>
    <w:p>
      <w:pPr>
        <w:pStyle w:val="FirstParagraph"/>
      </w:pPr>
      <w:r>
        <w:t xml:space="preserve">Confidential - Internal Use Only | Page</w:t>
      </w:r>
      <w:r>
        <w:t xml:space="preserve"> </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esorivuogq</dc:title>
  <dc:creator/>
  <dc:description>Detailed Product Carbon Footprint (PCF) analysis report for esorivuogq, developed by gyomehzjrq for pthkquzrlp, adhering to GHG Protocol and 2026 LSR standards.</dc:description>
  <dc:language>en</dc:language>
  <cp:keywords/>
  <dcterms:created xsi:type="dcterms:W3CDTF">2026-05-30T23:56:07Z</dcterms:created>
  <dcterms:modified xsi:type="dcterms:W3CDTF">2026-05-30T23:56:07Z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