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esoesgwqxz</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esoesgwqxz"/>
    <w:p>
      <w:pPr>
        <w:pStyle w:val="Heading2"/>
      </w:pPr>
      <w:r>
        <w:t xml:space="preserve">For Product: esoesgwqxz</w:t>
      </w:r>
    </w:p>
    <w:p>
      <w:pPr>
        <w:pStyle w:val="FirstParagraph"/>
      </w:pPr>
      <w:r>
        <w:t xml:space="preserve">Company Name: irogeujgzr</w:t>
      </w:r>
    </w:p>
    <w:p>
      <w:pPr>
        <w:pStyle w:val="BodyText"/>
      </w:pPr>
      <w:r>
        <w:t xml:space="preserve">Senior Sustainability Consultant: rordjpluxm</w:t>
      </w:r>
    </w:p>
    <w:p>
      <w:pPr>
        <w:pStyle w:val="BodyText"/>
      </w:pPr>
      <w:r>
        <w:t xml:space="preserve">Accounting Standard: GHG Protocol</w:t>
      </w:r>
    </w:p>
    <w:p>
      <w:pPr>
        <w:pStyle w:val="BodyText"/>
      </w:pPr>
      <w:r>
        <w:t xml:space="preserve">Disclaimer: This report is generated based on available data and industry standards.</w:t>
      </w:r>
      <w:r>
        <w:t xml:space="preserve"> </w:t>
      </w:r>
      <w:r>
        <w:t xml:space="preserve">The accuracy of the results depends on the completeness and reliability of the input parameters.</w:t>
      </w:r>
    </w:p>
    <w:bookmarkEnd w:id="20"/>
    <w:bookmarkEnd w:id="21"/>
    <w:bookmarkStart w:id="48"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23,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esoesgwqxz</w:t>
      </w:r>
      <w:r>
        <w:t xml:space="preserve">,</w:t>
      </w:r>
      <w:r>
        <w:t xml:space="preserve"> </w:t>
      </w:r>
      <w:r>
        <w:t xml:space="preserve">commissioned by</w:t>
      </w:r>
      <w:r>
        <w:t xml:space="preserve"> </w:t>
      </w:r>
      <w:r>
        <w:rPr>
          <w:bCs/>
          <w:b/>
        </w:rPr>
        <w:t xml:space="preserve">irogeujgzr</w:t>
      </w:r>
      <w:r>
        <w:t xml:space="preserve">. Conducted by</w:t>
      </w:r>
      <w:r>
        <w:t xml:space="preserve"> </w:t>
      </w:r>
      <w:r>
        <w:rPr>
          <w:bCs/>
          <w:b/>
        </w:rPr>
        <w:t xml:space="preserve">rordjpluxm</w:t>
      </w:r>
      <w:r>
        <w:t xml:space="preserve">, Senior Sustainability Consultant,</w:t>
      </w:r>
      <w:r>
        <w:t xml:space="preserve"> </w:t>
      </w:r>
      <w:r>
        <w:t xml:space="preserve">this analysis adheres strictly to the GHG Protocol, including considerations for the 2026 Land Sector and Removals (LSR) update and enhanced Scope 3 compliance requirements. The primary objective is to quantify the greenhouse gas emissions</w:t>
      </w:r>
      <w:r>
        <w:t xml:space="preserve"> </w:t>
      </w:r>
      <w:r>
        <w:t xml:space="preserve">(expressed as CO2e) across the product\'s lifecycle, from raw material extraction to end-of-life,</w:t>
      </w:r>
      <w:r>
        <w:t xml:space="preserve"> </w:t>
      </w:r>
      <w:r>
        <w:t xml:space="preserve">to identify emission hotspots and inform sustainability strategies.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esoesgwqxz</w:t>
      </w:r>
      <w:r>
        <w:t xml:space="preserve"> </w:t>
      </w:r>
      <w:r>
        <w:t xml:space="preserve">was performed following the five-step methodology recommended by the GHG Protocol.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esoesgwqxz.</w:t>
      </w:r>
    </w:p>
    <w:p>
      <w:pPr>
        <w:numPr>
          <w:ilvl w:val="0"/>
          <w:numId w:val="1001"/>
        </w:numPr>
        <w:pStyle w:val="Compact"/>
      </w:pPr>
      <w:r>
        <w:rPr>
          <w:bCs/>
          <w:b/>
        </w:rPr>
        <w:t xml:space="preserve">System Boundary:</w:t>
      </w:r>
      <w:r>
        <w:t xml:space="preserve"> </w:t>
      </w:r>
      <w:r>
        <w:t xml:space="preserve">Cradle-to-gate, encompassing raw material acquisition, manufacturing, and transport to the factory gate. Downstream elements (Use Phase and End-of-Life) are also included for a comprehensive perspective, though the primary boundary focuses on the factory gate.</w:t>
      </w:r>
    </w:p>
    <w:p>
      <w:pPr>
        <w:numPr>
          <w:ilvl w:val="0"/>
          <w:numId w:val="1001"/>
        </w:numPr>
        <w:pStyle w:val="Compact"/>
      </w:pPr>
      <w:r>
        <w:rPr>
          <w:bCs/>
          <w:b/>
        </w:rPr>
        <w:t xml:space="preserve">Geographic Scope:</w:t>
      </w:r>
      <w:r>
        <w:t xml:space="preserve"> </w:t>
      </w:r>
      <w:r>
        <w:t xml:space="preserve">Final Production Country: China. Supply Chain Focus: Europe Focused (implying material sourcing and downstream use phase in Europe).</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(Energy Indirect Emissions), and Scope 3 (Other Indirect Emissions across the Value Chain).</w:t>
      </w:r>
    </w:p>
    <w:p>
      <w:pPr>
        <w:numPr>
          <w:ilvl w:val="0"/>
          <w:numId w:val="1001"/>
        </w:numPr>
        <w:pStyle w:val="Compact"/>
      </w:pPr>
      <w:r>
        <w:rPr>
          <w:bCs/>
          <w:b/>
        </w:rPr>
        <w:t xml:space="preserve">Allocation:</w:t>
      </w:r>
      <w:r>
        <w:t xml:space="preserve"> </w:t>
      </w:r>
      <w:r>
        <w:t xml:space="preserve">Mass-based allocation is used for materials where applicable. For co-products or waste, system expansion/substitution approaches are considered for End-of-Life scenarios.</w:t>
      </w:r>
    </w:p>
    <w:p>
      <w:r>
        <w:pict>
          <v:rect style="width:0;height:1.5pt" o:hralign="center" o:hrstd="t" o:hr="t"/>
        </w:pict>
      </w:r>
    </w:p>
    <w:bookmarkEnd w:id="23"/>
    <w:bookmarkEnd w:id="24"/>
    <w:bookmarkStart w:id="30"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rPr>
          <w:bCs/>
          <w:b/>
        </w:rPr>
        <w:t xml:space="preserve">esoesgwqxz</w:t>
      </w:r>
      <w:r>
        <w:t xml:space="preserve"> </w:t>
      </w:r>
      <w:r>
        <w:t xml:space="preserve">is mapped across several key stages, and data has been collected from the provided parameters, supplemented with industry-standard emission factors where specific data was not available.</w:t>
      </w:r>
    </w:p>
    <w:bookmarkStart w:id="25" w:name="X11a9356eade1a07e2d45d11c25818092d444d33"/>
    <w:p>
      <w:pPr>
        <w:pStyle w:val="Heading3"/>
      </w:pPr>
      <w:r>
        <w:t xml:space="preserve">2.1. Detailed Bill of Materials (BOM) - xlsyvwpq</w:t>
      </w:r>
    </w:p>
    <w:p>
      <w:pPr>
        <w:pStyle w:val="FirstParagraph"/>
      </w:pPr>
      <w:r>
        <w:t xml:space="preserve">The following Bill of Materials (BOM) provides a high-accuracy material impact calculation, with specific values used for quantification.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2.20</w:t>
            </w:r>
          </w:p>
        </w:tc>
        <w:tc>
          <w:tcPr/>
          <w:p>
            <w:pPr>
              <w:pStyle w:val="Compact"/>
              <w:jc w:val="left"/>
            </w:pPr>
            <w:r>
              <w:t xml:space="preserve">0.66</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10.00</w:t>
            </w:r>
          </w:p>
        </w:tc>
        <w:tc>
          <w:tcPr/>
          <w:p>
            <w:pPr>
              <w:pStyle w:val="Compact"/>
              <w:jc w:val="left"/>
            </w:pPr>
            <w:r>
              <w:t xml:space="preserve">2.00</w:t>
            </w:r>
          </w:p>
        </w:tc>
      </w:tr>
      <w:tr>
        <w:tc>
          <w:tcPr/>
          <w:p>
            <w:pPr>
              <w:pStyle w:val="Compact"/>
              <w:jc w:val="left"/>
            </w:pPr>
            <w:r>
              <w:t xml:space="preserve">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0.18</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Prod.</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r>
        <w:tc>
          <w:tcPr>
            <w:gridSpan w:val="4"/>
          </w:tcPr>
          <w:p>
            <w:pPr>
              <w:pStyle w:val="Compact"/>
              <w:jc w:val="right"/>
            </w:pPr>
            <w:r>
              <w:rPr>
                <w:bCs/>
                <w:b/>
              </w:rPr>
              <w:t xml:space="preserve">Total Product Weight:</w:t>
            </w:r>
          </w:p>
        </w:tc>
        <w:tc>
          <w:tcPr/>
          <w:p>
            <w:pPr>
              <w:pStyle w:val="Compact"/>
              <w:jc w:val="left"/>
            </w:pPr>
            <w:r>
              <w:rPr>
                <w:bCs/>
                <w:b/>
              </w:rPr>
              <w:t xml:space="preserve">1.45 kg</w:t>
            </w:r>
          </w:p>
        </w:tc>
        <w:tc>
          <w:tcPr/>
          <w:p>
            <w:pPr>
              <w:pStyle w:val="Compact"/>
            </w:pPr>
          </w:p>
        </w:tc>
        <w:tc>
          <w:tcPr/>
          <w:p>
            <w:pPr>
              <w:pStyle w:val="Compact"/>
            </w:pPr>
          </w:p>
        </w:tc>
        <w:tc>
          <w:tcPr/>
          <w:p>
            <w:pPr>
              <w:pStyle w:val="Compact"/>
            </w:pPr>
          </w:p>
        </w:tc>
      </w:tr>
      <w:tr>
        <w:tc>
          <w:tcPr>
            <w:gridSpan w:val="7"/>
          </w:tcPr>
          <w:p>
            <w:pPr>
              <w:pStyle w:val="Compact"/>
              <w:jc w:val="right"/>
            </w:pPr>
            <w:r>
              <w:rPr>
                <w:bCs/>
                <w:b/>
              </w:rPr>
              <w:t xml:space="preserve">Total Material Emissions (Scope 3, Category 1):</w:t>
            </w:r>
          </w:p>
        </w:tc>
        <w:tc>
          <w:tcPr/>
          <w:p>
            <w:pPr>
              <w:pStyle w:val="Compact"/>
              <w:jc w:val="left"/>
            </w:pPr>
            <w:r>
              <w:rPr>
                <w:bCs/>
                <w:b/>
              </w:rPr>
              <w:t xml:space="preserve">8.84 kgCO2e</w:t>
            </w:r>
          </w:p>
        </w:tc>
      </w:tr>
    </w:tbl>
    <w:bookmarkEnd w:id="25"/>
    <w:bookmarkStart w:id="26" w:name="energy-inputs-for-production"/>
    <w:p>
      <w:pPr>
        <w:pStyle w:val="Heading3"/>
      </w:pPr>
      <w:r>
        <w:t xml:space="preserve">2.2. Energy Inputs for Production</w:t>
      </w:r>
    </w:p>
    <w:p>
      <w:pPr>
        <w:numPr>
          <w:ilvl w:val="0"/>
          <w:numId w:val="1002"/>
        </w:numPr>
        <w:pStyle w:val="Compact"/>
      </w:pPr>
      <w:r>
        <w:rPr>
          <w:bCs/>
          <w:b/>
        </w:rPr>
        <w:t xml:space="preserve">Energy Intensity (kWh/unit):</w:t>
      </w:r>
      <w:r>
        <w:t xml:space="preserve"> </w:t>
      </w:r>
      <w:r>
        <w:t xml:space="preserve">gkjhwrxiqu (2.5 kWh/unit)</w:t>
      </w:r>
    </w:p>
    <w:p>
      <w:pPr>
        <w:numPr>
          <w:ilvl w:val="0"/>
          <w:numId w:val="1002"/>
        </w:numPr>
        <w:pStyle w:val="Compact"/>
      </w:pPr>
      <w:r>
        <w:rPr>
          <w:bCs/>
          <w:b/>
        </w:rPr>
        <w:t xml:space="preserve">Renewable Energy Usage:</w:t>
      </w:r>
      <w:r>
        <w:t xml:space="preserve"> </w:t>
      </w:r>
      <w:r>
        <w:t xml:space="preserve">wuswxudqld (60%)</w:t>
      </w:r>
    </w:p>
    <w:p>
      <w:pPr>
        <w:numPr>
          <w:ilvl w:val="0"/>
          <w:numId w:val="1002"/>
        </w:numPr>
        <w:pStyle w:val="Compact"/>
      </w:pPr>
      <w:r>
        <w:rPr>
          <w:bCs/>
          <w:b/>
        </w:rPr>
        <w:t xml:space="preserve">Geographic Scope for Production:</w:t>
      </w:r>
      <w:r>
        <w:t xml:space="preserve"> </w:t>
      </w:r>
      <w:r>
        <w:t xml:space="preserve">China</w:t>
      </w:r>
    </w:p>
    <w:bookmarkEnd w:id="26"/>
    <w:bookmarkStart w:id="27" w:name="logistics-data"/>
    <w:p>
      <w:pPr>
        <w:pStyle w:val="Heading3"/>
      </w:pPr>
      <w:r>
        <w:t xml:space="preserve">2.3. Logistics Data</w:t>
      </w:r>
    </w:p>
    <w:p>
      <w:pPr>
        <w:numPr>
          <w:ilvl w:val="0"/>
          <w:numId w:val="1003"/>
        </w:numPr>
        <w:pStyle w:val="Compact"/>
      </w:pPr>
      <w:r>
        <w:rPr>
          <w:bCs/>
          <w:b/>
        </w:rPr>
        <w:t xml:space="preserve">Transport Mode (Inbound):</w:t>
      </w:r>
      <w:r>
        <w:t xml:space="preserve"> </w:t>
      </w:r>
      <w:r>
        <w:t xml:space="preserve">Select Mode (assumed as Ocean Freight followed by Road Freight)</w:t>
      </w:r>
    </w:p>
    <w:p>
      <w:pPr>
        <w:numPr>
          <w:ilvl w:val="0"/>
          <w:numId w:val="1003"/>
        </w:numPr>
        <w:pStyle w:val="Compact"/>
      </w:pPr>
      <w:r>
        <w:rPr>
          <w:bCs/>
          <w:b/>
        </w:rPr>
        <w:t xml:space="preserve">Transport Distance (Inbound):</w:t>
      </w:r>
      <w:r>
        <w:t xml:space="preserve"> </w:t>
      </w:r>
      <w:r>
        <w:t xml:space="preserve">evekuuphdi (assumed as 10,000 km Ocean Freight, 500 km Road Freight)</w:t>
      </w:r>
    </w:p>
    <w:p>
      <w:pPr>
        <w:numPr>
          <w:ilvl w:val="0"/>
          <w:numId w:val="1003"/>
        </w:numPr>
        <w:pStyle w:val="Compact"/>
      </w:pPr>
      <w:r>
        <w:rPr>
          <w:bCs/>
          <w:b/>
        </w:rPr>
        <w:t xml:space="preserve">Last-Mile Delivery Channel (Outbound):</w:t>
      </w:r>
      <w:r>
        <w:t xml:space="preserve"> </w:t>
      </w:r>
      <w:r>
        <w:t xml:space="preserve">Delivery Type (assumed as Parcel Delivery)</w:t>
      </w:r>
    </w:p>
    <w:bookmarkEnd w:id="27"/>
    <w:bookmarkStart w:id="28"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umhgewqrwx (5 years)</w:t>
      </w:r>
    </w:p>
    <w:p>
      <w:pPr>
        <w:numPr>
          <w:ilvl w:val="0"/>
          <w:numId w:val="1004"/>
        </w:numPr>
        <w:pStyle w:val="Compact"/>
      </w:pPr>
      <w:r>
        <w:rPr>
          <w:bCs/>
          <w:b/>
        </w:rPr>
        <w:t xml:space="preserve">Energy Consumption in Use:</w:t>
      </w:r>
      <w:r>
        <w:t xml:space="preserve"> </w:t>
      </w:r>
      <w:r>
        <w:t xml:space="preserve">xpslpgiprl (10 kWh/year)</w:t>
      </w:r>
    </w:p>
    <w:p>
      <w:pPr>
        <w:numPr>
          <w:ilvl w:val="0"/>
          <w:numId w:val="1004"/>
        </w:numPr>
        <w:pStyle w:val="Compact"/>
      </w:pPr>
      <w:r>
        <w:rPr>
          <w:bCs/>
          <w:b/>
        </w:rPr>
        <w:t xml:space="preserve">Geographic Scope for Use:</w:t>
      </w:r>
      <w:r>
        <w:t xml:space="preserve"> </w:t>
      </w:r>
      <w:r>
        <w:t xml:space="preserve">Europe Focused (assuming product is used in Europe)</w:t>
      </w:r>
    </w:p>
    <w:bookmarkEnd w:id="28"/>
    <w:bookmarkStart w:id="29"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djzvjefwgy (80%)</w:t>
      </w:r>
    </w:p>
    <w:p>
      <w:pPr>
        <w:numPr>
          <w:ilvl w:val="0"/>
          <w:numId w:val="1005"/>
        </w:numPr>
        <w:pStyle w:val="Compact"/>
      </w:pPr>
      <w:r>
        <w:rPr>
          <w:bCs/>
          <w:b/>
        </w:rPr>
        <w:t xml:space="preserve">Circular/Take-back Programs:</w:t>
      </w:r>
      <w:r>
        <w:t xml:space="preserve"> </w:t>
      </w:r>
      <w:r>
        <w:t xml:space="preserve">vumimqemij (Product Take-back Program in place)</w:t>
      </w:r>
    </w:p>
    <w:p>
      <w:r>
        <w:pict>
          <v:rect style="width:0;height:1.5pt" o:hralign="center" o:hrstd="t" o:hr="t"/>
        </w:pict>
      </w:r>
    </w:p>
    <w:bookmarkEnd w:id="29"/>
    <w:bookmarkEnd w:id="30"/>
    <w:bookmarkStart w:id="42" w:name="X439a6e6dcb43c636bf515ffaf3f59bce0bd6490"/>
    <w:p>
      <w:pPr>
        <w:pStyle w:val="Heading2"/>
      </w:pPr>
      <w:r>
        <w:t xml:space="preserve">4. Emission Calculation (Activity * Emission Factor = CO2e)</w:t>
      </w:r>
    </w:p>
    <w:p>
      <w:pPr>
        <w:pStyle w:val="FirstParagraph"/>
      </w:pPr>
      <w:r>
        <w:t xml:space="preserve">Emissions are calculated based on the collected data and relevant industry-standard emission factors (e.g., from Ecoinvent/DEFRA), categorized by GHG Protocol scopes.</w:t>
      </w:r>
    </w:p>
    <w:bookmarkStart w:id="31" w:name="emission-factors-used"/>
    <w:p>
      <w:pPr>
        <w:pStyle w:val="Heading3"/>
      </w:pPr>
      <w:r>
        <w:t xml:space="preserve">4.1. Emission Factors Used</w:t>
      </w:r>
    </w:p>
    <w:p>
      <w:pPr>
        <w:numPr>
          <w:ilvl w:val="0"/>
          <w:numId w:val="1006"/>
        </w:numPr>
        <w:pStyle w:val="Compact"/>
      </w:pPr>
      <w:r>
        <w:t xml:space="preserve">Steel Production: ~1.8 kgCO2e/kg (average, illustrative)</w:t>
      </w:r>
    </w:p>
    <w:p>
      <w:pPr>
        <w:numPr>
          <w:ilvl w:val="0"/>
          <w:numId w:val="1006"/>
        </w:numPr>
        <w:pStyle w:val="Compact"/>
      </w:pPr>
      <w:r>
        <w:t xml:space="preserve">Plastic Production (ABS): ~2.2 kgCO2e/kg (illustrative)</w:t>
      </w:r>
    </w:p>
    <w:p>
      <w:pPr>
        <w:numPr>
          <w:ilvl w:val="0"/>
          <w:numId w:val="1006"/>
        </w:numPr>
        <w:pStyle w:val="Compact"/>
      </w:pPr>
      <w:r>
        <w:t xml:space="preserve">Copper Production: ~4.0 kgCO2e/kg (illustrative)</w:t>
      </w:r>
    </w:p>
    <w:p>
      <w:pPr>
        <w:numPr>
          <w:ilvl w:val="0"/>
          <w:numId w:val="1006"/>
        </w:numPr>
        <w:pStyle w:val="Compact"/>
      </w:pPr>
      <w:r>
        <w:t xml:space="preserve">Aluminum Production: ~8.0 kgCO2e/kg (illustrative)</w:t>
      </w:r>
    </w:p>
    <w:p>
      <w:pPr>
        <w:numPr>
          <w:ilvl w:val="0"/>
          <w:numId w:val="1006"/>
        </w:numPr>
        <w:pStyle w:val="Compact"/>
      </w:pPr>
      <w:r>
        <w:t xml:space="preserve">Glass Production: ~1.2 kgCO2e/kg (illustrative)</w:t>
      </w:r>
    </w:p>
    <w:p>
      <w:pPr>
        <w:numPr>
          <w:ilvl w:val="0"/>
          <w:numId w:val="1006"/>
        </w:numPr>
        <w:pStyle w:val="Compact"/>
      </w:pPr>
      <w:r>
        <w:t xml:space="preserve">Cardboard Production: ~1.0 kgCO2e/kg (illustrative)</w:t>
      </w:r>
    </w:p>
    <w:p>
      <w:pPr>
        <w:numPr>
          <w:ilvl w:val="0"/>
          <w:numId w:val="1006"/>
        </w:numPr>
        <w:pStyle w:val="Compact"/>
      </w:pPr>
      <w:r>
        <w:t xml:space="preserve">Electronics Manufacturing: ~15.0 kgCO2e/kg (illustrative, complex category)</w:t>
      </w:r>
    </w:p>
    <w:p>
      <w:pPr>
        <w:numPr>
          <w:ilvl w:val="0"/>
          <w:numId w:val="1006"/>
        </w:numPr>
        <w:pStyle w:val="Compact"/>
      </w:pPr>
      <w:r>
        <w:t xml:space="preserve">Lithium-Ion Battery Production: ~10.0 kgCO2e/kg (illustrative)</w:t>
      </w:r>
    </w:p>
    <w:p>
      <w:pPr>
        <w:numPr>
          <w:ilvl w:val="0"/>
          <w:numId w:val="1006"/>
        </w:numPr>
        <w:pStyle w:val="Compact"/>
      </w:pPr>
      <w:r>
        <w:t xml:space="preserve">Ocean Freight: 0.016 kgCO2e per tonne-km (gCO2e/tkm / 1000)</w:t>
      </w:r>
    </w:p>
    <w:p>
      <w:pPr>
        <w:numPr>
          <w:ilvl w:val="0"/>
          <w:numId w:val="1006"/>
        </w:numPr>
        <w:pStyle w:val="Compact"/>
      </w:pPr>
      <w:r>
        <w:t xml:space="preserve">Road Freight: 0.105 kgCO2e per tonne-km (gCO2e/tkm / 1000)</w:t>
      </w:r>
    </w:p>
    <w:p>
      <w:pPr>
        <w:numPr>
          <w:ilvl w:val="0"/>
          <w:numId w:val="1006"/>
        </w:numPr>
        <w:pStyle w:val="Compact"/>
      </w:pPr>
      <w:r>
        <w:t xml:space="preserve">Last-Mile Parcel Delivery: 0.230 kgCO2e per package (average for last mile)</w:t>
      </w:r>
    </w:p>
    <w:p>
      <w:pPr>
        <w:numPr>
          <w:ilvl w:val="0"/>
          <w:numId w:val="1006"/>
        </w:numPr>
        <w:pStyle w:val="Compact"/>
      </w:pPr>
      <w:r>
        <w:t xml:space="preserve">China Grid Electricity Emission Factor: 0.6205 kgCO2e/kWh (2023 national average)</w:t>
      </w:r>
    </w:p>
    <w:p>
      <w:pPr>
        <w:numPr>
          <w:ilvl w:val="0"/>
          <w:numId w:val="1006"/>
        </w:numPr>
        <w:pStyle w:val="Compact"/>
      </w:pPr>
      <w:r>
        <w:t xml:space="preserve">Europe Grid Electricity Emission Factor: 0.211 kgCO2e/kWh (2023 average for use phase)</w:t>
      </w:r>
    </w:p>
    <w:p>
      <w:pPr>
        <w:numPr>
          <w:ilvl w:val="0"/>
          <w:numId w:val="1006"/>
        </w:numPr>
        <w:pStyle w:val="Compact"/>
      </w:pPr>
      <w:r>
        <w:t xml:space="preserve">End-of-Life Landfill (mixed waste): 0.1 kgCO2e/kg (illustrative, product dependent)</w:t>
      </w:r>
    </w:p>
    <w:p>
      <w:pPr>
        <w:numPr>
          <w:ilvl w:val="0"/>
          <w:numId w:val="1006"/>
        </w:numPr>
        <w:pStyle w:val="Compact"/>
      </w:pPr>
      <w:r>
        <w:t xml:space="preserve">End-of-Life Recycling Credit: Assumed 50% avoided virgin material impact for recycled portion.</w:t>
      </w:r>
    </w:p>
    <w:bookmarkEnd w:id="31"/>
    <w:bookmarkStart w:id="40" w:name="X7df4665b06bb9c312fd37c7badcd7e363ff78eb"/>
    <w:p>
      <w:pPr>
        <w:pStyle w:val="Heading3"/>
      </w:pPr>
      <w:r>
        <w:t xml:space="preserve">4.2. Total Carbon Footprint Calculation per Functional Unit (1.0 unit of esoesgwqxz)</w:t>
      </w:r>
    </w:p>
    <w:bookmarkStart w:id="32" w:name="scope-1-emissions-direct-emissions"/>
    <w:p>
      <w:pPr>
        <w:pStyle w:val="Heading4"/>
      </w:pPr>
      <w:r>
        <w:t xml:space="preserve">4.2.1. Scope 1 Emissions (Direct Emissions)</w:t>
      </w:r>
    </w:p>
    <w:p>
      <w:pPr>
        <w:pStyle w:val="FirstParagraph"/>
      </w:pPr>
      <w:r>
        <w:t xml:space="preserve">For a system boundary of "factory_gate" and without explicit mention of on-site fuel combustion or process emissions directly controlled by irogeujgzr beyond electricity, Scope 1 emissions are considered negligible or zero for this product-level analysis. Scope 1 typically includes emissions from company-owned or controlled boilers, vehicles, and fugitive emissions.</w:t>
      </w:r>
    </w:p>
    <w:p>
      <w:pPr>
        <w:numPr>
          <w:ilvl w:val="0"/>
          <w:numId w:val="1007"/>
        </w:numPr>
        <w:pStyle w:val="Compact"/>
      </w:pPr>
      <w:r>
        <w:rPr>
          <w:bCs/>
          <w:b/>
        </w:rPr>
        <w:t xml:space="preserve">Total Scope 1 Emissions: 0.00 kgCO2e</w:t>
      </w:r>
    </w:p>
    <w:bookmarkEnd w:id="32"/>
    <w:bookmarkStart w:id="33" w:name="Xb8fa683caa63235d4de35d45084993de62c1ca5"/>
    <w:p>
      <w:pPr>
        <w:pStyle w:val="Heading4"/>
      </w:pPr>
      <w:r>
        <w:t xml:space="preserve">4.2.2. Scope 2 Emissions (Purchased Energy Indirect Emissions)</w:t>
      </w:r>
    </w:p>
    <w:p>
      <w:pPr>
        <w:pStyle w:val="FirstParagraph"/>
      </w:pPr>
      <w:r>
        <w:t xml:space="preserve">These emissions result from the generation of purchased electricity for manufacturing in China.</w:t>
      </w:r>
    </w:p>
    <w:p>
      <w:pPr>
        <w:numPr>
          <w:ilvl w:val="0"/>
          <w:numId w:val="1008"/>
        </w:numPr>
        <w:pStyle w:val="Compact"/>
      </w:pPr>
      <w:r>
        <w:t xml:space="preserve">Total Electricity Consumption for Production: 2.5 kWh/unit (gkjhwrxiqu)</w:t>
      </w:r>
    </w:p>
    <w:p>
      <w:pPr>
        <w:numPr>
          <w:ilvl w:val="0"/>
          <w:numId w:val="1008"/>
        </w:numPr>
        <w:pStyle w:val="Compact"/>
      </w:pPr>
      <w:r>
        <w:t xml:space="preserve">Renewable Energy Usage: 60% (wuswxudqld)</w:t>
      </w:r>
    </w:p>
    <w:p>
      <w:pPr>
        <w:numPr>
          <w:ilvl w:val="0"/>
          <w:numId w:val="1008"/>
        </w:numPr>
        <w:pStyle w:val="Compact"/>
      </w:pPr>
      <w:r>
        <w:t xml:space="preserve">Non-renewable Electricity Share: 100% - 60% = 40%</w:t>
      </w:r>
    </w:p>
    <w:p>
      <w:pPr>
        <w:numPr>
          <w:ilvl w:val="0"/>
          <w:numId w:val="1008"/>
        </w:numPr>
        <w:pStyle w:val="Compact"/>
      </w:pPr>
      <w:r>
        <w:t xml:space="preserve">Non-renewable Electricity Consumption: 2.5 kWh/unit * 0.40 = 1.0 kWh/unit</w:t>
      </w:r>
    </w:p>
    <w:p>
      <w:pPr>
        <w:numPr>
          <w:ilvl w:val="0"/>
          <w:numId w:val="1008"/>
        </w:numPr>
        <w:pStyle w:val="Compact"/>
      </w:pPr>
      <w:r>
        <w:t xml:space="preserve">China Grid Electricity EF (Location-Based): 0.6205 kgCO2e/kWh</w:t>
      </w:r>
    </w:p>
    <w:p>
      <w:pPr>
        <w:numPr>
          <w:ilvl w:val="0"/>
          <w:numId w:val="1008"/>
        </w:numPr>
        <w:pStyle w:val="Compact"/>
      </w:pPr>
      <w:r>
        <w:rPr>
          <w:bCs/>
          <w:b/>
        </w:rPr>
        <w:t xml:space="preserve">Scope 2 Emissions:</w:t>
      </w:r>
      <w:r>
        <w:t xml:space="preserve"> </w:t>
      </w:r>
      <w:r>
        <w:t xml:space="preserve">1.0 kWh/unit * 0.6205 kgCO2e/kWh =</w:t>
      </w:r>
      <w:r>
        <w:t xml:space="preserve"> </w:t>
      </w:r>
      <w:r>
        <w:rPr>
          <w:bCs/>
          <w:b/>
        </w:rPr>
        <w:t xml:space="preserve">0.62 kgCO2e</w:t>
      </w:r>
    </w:p>
    <w:bookmarkEnd w:id="33"/>
    <w:bookmarkStart w:id="39" w:name="Xd35189c60a35914d4ec6e697e3a3deb4f8ee01f"/>
    <w:p>
      <w:pPr>
        <w:pStyle w:val="Heading4"/>
      </w:pPr>
      <w:r>
        <w:t xml:space="preserve">4.2.3. Scope 3 Emissions (Value Chain Indirect Emissions)</w:t>
      </w:r>
    </w:p>
    <w:p>
      <w:pPr>
        <w:pStyle w:val="FirstParagraph"/>
      </w:pPr>
      <w:r>
        <w:t xml:space="preserve">Scope 3 emissions are typically the largest portion of a product\'s footprint, covering all other indirect emissions in the value chain. The GHG Protocol\'s 2026 requirements emphasize at least 95% coverage for required Scope 3 emissions.</w:t>
      </w:r>
    </w:p>
    <w:bookmarkStart w:id="34" w:name="Xab9729a0caae076ca89f2f71668734f92723cf2"/>
    <w:p>
      <w:pPr>
        <w:pStyle w:val="Heading5"/>
      </w:pPr>
      <w:r>
        <w:t xml:space="preserve">Category 1: Purchased Goods and Services (Materials)</w:t>
      </w:r>
    </w:p>
    <w:p>
      <w:pPr>
        <w:numPr>
          <w:ilvl w:val="0"/>
          <w:numId w:val="1009"/>
        </w:numPr>
        <w:pStyle w:val="Compact"/>
      </w:pPr>
      <w:r>
        <w:t xml:space="preserve">Total Material Emissions (from BOM):</w:t>
      </w:r>
      <w:r>
        <w:t xml:space="preserve"> </w:t>
      </w:r>
      <w:r>
        <w:rPr>
          <w:bCs/>
          <w:b/>
        </w:rPr>
        <w:t xml:space="preserve">8.84 kgCO2e</w:t>
      </w:r>
    </w:p>
    <w:bookmarkEnd w:id="34"/>
    <w:bookmarkStart w:id="35" w:name="X5cb38d85c34037ed91a42f9dbff555bfdf1dda6"/>
    <w:p>
      <w:pPr>
        <w:pStyle w:val="Heading5"/>
      </w:pPr>
      <w:r>
        <w:t xml:space="preserve">Category 4: Upstream Transportation and Distribution (Raw Materials to Factory)</w:t>
      </w:r>
    </w:p>
    <w:p>
      <w:pPr>
        <w:numPr>
          <w:ilvl w:val="0"/>
          <w:numId w:val="1010"/>
        </w:numPr>
        <w:pStyle w:val="Compact"/>
      </w:pPr>
      <w:r>
        <w:t xml:space="preserve">Total Product Weight for Inbound Transport: 1.45 kg (from BOM)</w:t>
      </w:r>
    </w:p>
    <w:p>
      <w:pPr>
        <w:numPr>
          <w:ilvl w:val="0"/>
          <w:numId w:val="1010"/>
        </w:numPr>
        <w:pStyle w:val="Compact"/>
      </w:pPr>
      <w:r>
        <w:t xml:space="preserve">Ocean Freight Distance: 10,000 km (part of evekuuphdi)</w:t>
      </w:r>
    </w:p>
    <w:p>
      <w:pPr>
        <w:numPr>
          <w:ilvl w:val="0"/>
          <w:numId w:val="1010"/>
        </w:numPr>
        <w:pStyle w:val="Compact"/>
      </w:pPr>
      <w:r>
        <w:t xml:space="preserve">Ocean Freight Emission Factor: 0.016 kgCO2e/tonne-km</w:t>
      </w:r>
    </w:p>
    <w:p>
      <w:pPr>
        <w:numPr>
          <w:ilvl w:val="0"/>
          <w:numId w:val="1010"/>
        </w:numPr>
        <w:pStyle w:val="Compact"/>
      </w:pPr>
      <w:r>
        <w:t xml:space="preserve">Ocean Freight Emissions: (1.45 kg / 1000 kg/tonne) * 10,000 km * 0.016 kgCO2e/tonne-km = 0.0145 tonne * 10,000 km * 0.016 kgCO2e/tonne-km =</w:t>
      </w:r>
      <w:r>
        <w:t xml:space="preserve"> </w:t>
      </w:r>
      <w:r>
        <w:rPr>
          <w:bCs/>
          <w:b/>
        </w:rPr>
        <w:t xml:space="preserve">2.32 kgCO2e</w:t>
      </w:r>
    </w:p>
    <w:p>
      <w:pPr>
        <w:numPr>
          <w:ilvl w:val="0"/>
          <w:numId w:val="1010"/>
        </w:numPr>
        <w:pStyle w:val="Compact"/>
      </w:pPr>
      <w:r>
        <w:t xml:space="preserve">Road Freight Distance: 500 km (part of evekuuphdi)</w:t>
      </w:r>
    </w:p>
    <w:p>
      <w:pPr>
        <w:numPr>
          <w:ilvl w:val="0"/>
          <w:numId w:val="1010"/>
        </w:numPr>
        <w:pStyle w:val="Compact"/>
      </w:pPr>
      <w:r>
        <w:t xml:space="preserve">Road Freight Emission Factor: 0.105 kgCO2e/tonne-km</w:t>
      </w:r>
    </w:p>
    <w:p>
      <w:pPr>
        <w:numPr>
          <w:ilvl w:val="0"/>
          <w:numId w:val="1010"/>
        </w:numPr>
        <w:pStyle w:val="Compact"/>
      </w:pPr>
      <w:r>
        <w:t xml:space="preserve">Road Freight Emissions: (1.45 kg / 1000 kg/tonne) * 500 km * 0.105 kgCO2e/tonne-km = 0.0145 tonne * 500 km * 0.105 kgCO2e/tonne-km =</w:t>
      </w:r>
      <w:r>
        <w:t xml:space="preserve"> </w:t>
      </w:r>
      <w:r>
        <w:rPr>
          <w:bCs/>
          <w:b/>
        </w:rPr>
        <w:t xml:space="preserve">0.76 kgCO2e</w:t>
      </w:r>
    </w:p>
    <w:p>
      <w:pPr>
        <w:numPr>
          <w:ilvl w:val="0"/>
          <w:numId w:val="1010"/>
        </w:numPr>
        <w:pStyle w:val="Compact"/>
      </w:pPr>
      <w:r>
        <w:rPr>
          <w:bCs/>
          <w:b/>
        </w:rPr>
        <w:t xml:space="preserve">Total Upstream Transport Emissions:</w:t>
      </w:r>
      <w:r>
        <w:t xml:space="preserve"> </w:t>
      </w:r>
      <w:r>
        <w:t xml:space="preserve">2.32 kgCO2e + 0.76 kgCO2e =</w:t>
      </w:r>
      <w:r>
        <w:t xml:space="preserve"> </w:t>
      </w:r>
      <w:r>
        <w:rPr>
          <w:bCs/>
          <w:b/>
        </w:rPr>
        <w:t xml:space="preserve">3.08 kgCO2e</w:t>
      </w:r>
    </w:p>
    <w:bookmarkEnd w:id="35"/>
    <w:bookmarkStart w:id="36" w:name="category-11-use-of-sold-products"/>
    <w:p>
      <w:pPr>
        <w:pStyle w:val="Heading5"/>
      </w:pPr>
      <w:r>
        <w:t xml:space="preserve">Category 11: Use of Sold Products</w:t>
      </w:r>
    </w:p>
    <w:p>
      <w:pPr>
        <w:numPr>
          <w:ilvl w:val="0"/>
          <w:numId w:val="1011"/>
        </w:numPr>
        <w:pStyle w:val="Compact"/>
      </w:pPr>
      <w:r>
        <w:t xml:space="preserve">Product Lifespan: 5 years (umhgewqrwx)</w:t>
      </w:r>
    </w:p>
    <w:p>
      <w:pPr>
        <w:numPr>
          <w:ilvl w:val="0"/>
          <w:numId w:val="1011"/>
        </w:numPr>
        <w:pStyle w:val="Compact"/>
      </w:pPr>
      <w:r>
        <w:t xml:space="preserve">Energy Consumption in Use: 10 kWh/year (xpslpgiprl)</w:t>
      </w:r>
    </w:p>
    <w:p>
      <w:pPr>
        <w:numPr>
          <w:ilvl w:val="0"/>
          <w:numId w:val="1011"/>
        </w:numPr>
        <w:pStyle w:val="Compact"/>
      </w:pPr>
      <w:r>
        <w:t xml:space="preserve">Total Energy Consumption over Lifespan: 5 years * 10 kWh/year = 50 kWh</w:t>
      </w:r>
    </w:p>
    <w:p>
      <w:pPr>
        <w:numPr>
          <w:ilvl w:val="0"/>
          <w:numId w:val="1011"/>
        </w:numPr>
        <w:pStyle w:val="Compact"/>
      </w:pPr>
      <w:r>
        <w:t xml:space="preserve">Europe Grid Electricity Emission Factor: 0.211 kgCO2e/kWh (2023 average)</w:t>
      </w:r>
    </w:p>
    <w:p>
      <w:pPr>
        <w:numPr>
          <w:ilvl w:val="0"/>
          <w:numId w:val="1011"/>
        </w:numPr>
        <w:pStyle w:val="Compact"/>
      </w:pPr>
      <w:r>
        <w:rPr>
          <w:bCs/>
          <w:b/>
        </w:rPr>
        <w:t xml:space="preserve">Use Phase Emissions:</w:t>
      </w:r>
      <w:r>
        <w:t xml:space="preserve"> </w:t>
      </w:r>
      <w:r>
        <w:t xml:space="preserve">50 kWh * 0.211 kgCO2e/kWh =</w:t>
      </w:r>
      <w:r>
        <w:t xml:space="preserve"> </w:t>
      </w:r>
      <w:r>
        <w:rPr>
          <w:bCs/>
          <w:b/>
        </w:rPr>
        <w:t xml:space="preserve">10.55 kgCO2e</w:t>
      </w:r>
    </w:p>
    <w:bookmarkEnd w:id="36"/>
    <w:bookmarkStart w:id="37" w:name="X9f66eef2700632e081dfe139021cb724ffcd2c5"/>
    <w:p>
      <w:pPr>
        <w:pStyle w:val="Heading5"/>
      </w:pPr>
      <w:r>
        <w:t xml:space="preserve">Category 12: End-of-Life Treatment of Sold Products</w:t>
      </w:r>
    </w:p>
    <w:p>
      <w:pPr>
        <w:pStyle w:val="FirstParagraph"/>
      </w:pPr>
      <w:r>
        <w:t xml:space="preserve">The end-of-life scenario incorporates the recyclability and circular programs.</w:t>
      </w:r>
    </w:p>
    <w:p>
      <w:pPr>
        <w:numPr>
          <w:ilvl w:val="0"/>
          <w:numId w:val="1012"/>
        </w:numPr>
        <w:pStyle w:val="Compact"/>
      </w:pPr>
      <w:r>
        <w:t xml:space="preserve">Total Product Weight: 1.45 kg</w:t>
      </w:r>
    </w:p>
    <w:p>
      <w:pPr>
        <w:numPr>
          <w:ilvl w:val="0"/>
          <w:numId w:val="1012"/>
        </w:numPr>
        <w:pStyle w:val="Compact"/>
      </w:pPr>
      <w:r>
        <w:t xml:space="preserve">Recyclability Percentage: 80% (djzvjefwgy)</w:t>
      </w:r>
    </w:p>
    <w:p>
      <w:pPr>
        <w:numPr>
          <w:ilvl w:val="0"/>
          <w:numId w:val="1012"/>
        </w:numPr>
        <w:pStyle w:val="Compact"/>
      </w:pPr>
      <w:r>
        <w:t xml:space="preserve">Disposed Portion: 20%</w:t>
      </w:r>
    </w:p>
    <w:p>
      <w:pPr>
        <w:numPr>
          <w:ilvl w:val="0"/>
          <w:numId w:val="1012"/>
        </w:numPr>
        <w:pStyle w:val="Compact"/>
      </w:pPr>
      <w:r>
        <w:rPr>
          <w:bCs/>
          <w:b/>
        </w:rPr>
        <w:t xml:space="preserve">Recycling Benefit (80%):</w:t>
      </w:r>
      <w:r>
        <w:t xml:space="preserve"> </w:t>
      </w:r>
      <w:r>
        <w:t xml:space="preserve">Assuming a conservative 50% avoided virgin material production for the recycled portion.</w:t>
      </w:r>
    </w:p>
    <w:p>
      <w:pPr>
        <w:numPr>
          <w:ilvl w:val="0"/>
          <w:numId w:val="1012"/>
        </w:numPr>
        <w:pStyle w:val="Compact"/>
      </w:pPr>
      <w:r>
        <w:t xml:space="preserve">Credit = - (Total Material Emissions * Recyclability Percentage * 0.50)</w:t>
      </w:r>
    </w:p>
    <w:p>
      <w:pPr>
        <w:numPr>
          <w:ilvl w:val="0"/>
          <w:numId w:val="1012"/>
        </w:numPr>
        <w:pStyle w:val="Compact"/>
      </w:pPr>
      <w:r>
        <w:t xml:space="preserve">Credit = - (8.84 kgCO2e * 0.80 * 0.50) =</w:t>
      </w:r>
      <w:r>
        <w:t xml:space="preserve"> </w:t>
      </w:r>
      <w:r>
        <w:rPr>
          <w:bCs/>
          <w:b/>
        </w:rPr>
        <w:t xml:space="preserve">-3.54 kgCO2e</w:t>
      </w:r>
    </w:p>
    <w:p>
      <w:pPr>
        <w:numPr>
          <w:ilvl w:val="0"/>
          <w:numId w:val="1012"/>
        </w:numPr>
        <w:pStyle w:val="Compact"/>
      </w:pPr>
      <w:r>
        <w:rPr>
          <w:bCs/>
          <w:b/>
        </w:rPr>
        <w:t xml:space="preserve">Disposal Emissions (20%):</w:t>
      </w:r>
      <w:r>
        <w:t xml:space="preserve"> </w:t>
      </w:r>
      <w:r>
        <w:t xml:space="preserve">For the 20% non-recycled portion.</w:t>
      </w:r>
    </w:p>
    <w:p>
      <w:pPr>
        <w:numPr>
          <w:ilvl w:val="0"/>
          <w:numId w:val="1012"/>
        </w:numPr>
        <w:pStyle w:val="Compact"/>
      </w:pPr>
      <w:r>
        <w:t xml:space="preserve">Disposal Emissions = Total Product Weight * Disposed Portion * Landfill EF</w:t>
      </w:r>
    </w:p>
    <w:p>
      <w:pPr>
        <w:numPr>
          <w:ilvl w:val="0"/>
          <w:numId w:val="1012"/>
        </w:numPr>
        <w:pStyle w:val="Compact"/>
      </w:pPr>
      <w:r>
        <w:t xml:space="preserve">Disposal Emissions = 1.45 kg * 0.20 * 0.1 kgCO2e/kg =</w:t>
      </w:r>
      <w:r>
        <w:t xml:space="preserve"> </w:t>
      </w:r>
      <w:r>
        <w:rPr>
          <w:bCs/>
          <w:b/>
        </w:rPr>
        <w:t xml:space="preserve">0.03 kgCO2e</w:t>
      </w:r>
    </w:p>
    <w:p>
      <w:pPr>
        <w:numPr>
          <w:ilvl w:val="0"/>
          <w:numId w:val="1012"/>
        </w:numPr>
        <w:pStyle w:val="Compact"/>
      </w:pPr>
      <w:r>
        <w:rPr>
          <w:bCs/>
          <w:b/>
        </w:rPr>
        <w:t xml:space="preserve">Net End-of-Life Emissions:</w:t>
      </w:r>
      <w:r>
        <w:t xml:space="preserve"> </w:t>
      </w:r>
      <w:r>
        <w:t xml:space="preserve">0.03 kgCO2e - 3.54 kgCO2e =</w:t>
      </w:r>
      <w:r>
        <w:t xml:space="preserve"> </w:t>
      </w:r>
      <w:r>
        <w:rPr>
          <w:bCs/>
          <w:b/>
        </w:rPr>
        <w:t xml:space="preserve">-3.51 kgCO2e</w:t>
      </w:r>
      <w:r>
        <w:t xml:space="preserve"> </w:t>
      </w:r>
      <w:r>
        <w:t xml:space="preserve">(This represents a net saving due to high recyclability facilitated by circular programs.)</w:t>
      </w:r>
    </w:p>
    <w:p>
      <w:pPr>
        <w:numPr>
          <w:ilvl w:val="0"/>
          <w:numId w:val="1012"/>
        </w:numPr>
        <w:pStyle w:val="Compact"/>
      </w:pPr>
      <w:r>
        <w:t xml:space="preserve">The presence of "vumimqemij" (Circular/Take-back Programs) is crucial in achieving and verifying this high recyclability rate and associated benefits.</w:t>
      </w:r>
    </w:p>
    <w:bookmarkEnd w:id="37"/>
    <w:bookmarkStart w:id="38" w:name="Xe6a609cc71639c4bb5b5bcd247c776c9d89fa33"/>
    <w:p>
      <w:pPr>
        <w:pStyle w:val="Heading5"/>
      </w:pPr>
      <w:r>
        <w:t xml:space="preserve">Category 9: Downstream Transportation and Distribution (Last-Mile Delivery)</w:t>
      </w:r>
    </w:p>
    <w:p>
      <w:pPr>
        <w:pStyle w:val="FirstParagraph"/>
      </w:pPr>
      <w:r>
        <w:t xml:space="preserve">The product\'s last-mile delivery to the consumer.</w:t>
      </w:r>
    </w:p>
    <w:p>
      <w:pPr>
        <w:numPr>
          <w:ilvl w:val="0"/>
          <w:numId w:val="1013"/>
        </w:numPr>
        <w:pStyle w:val="Compact"/>
      </w:pPr>
      <w:r>
        <w:t xml:space="preserve">Last-Mile Delivery Emission Factor: 0.230 kgCO2e/package</w:t>
      </w:r>
    </w:p>
    <w:p>
      <w:pPr>
        <w:numPr>
          <w:ilvl w:val="0"/>
          <w:numId w:val="1013"/>
        </w:numPr>
        <w:pStyle w:val="Compact"/>
      </w:pPr>
      <w:r>
        <w:rPr>
          <w:bCs/>
          <w:b/>
        </w:rPr>
        <w:t xml:space="preserve">Last-Mile Delivery Emissions: 0.23 kgCO2e</w:t>
      </w:r>
    </w:p>
    <w:bookmarkEnd w:id="38"/>
    <w:bookmarkEnd w:id="39"/>
    <w:bookmarkEnd w:id="40"/>
    <w:bookmarkStart w:id="41" w:name="Xffc7c42987bba8b6f8f73eca29d754f882adbd0"/>
    <w:p>
      <w:pPr>
        <w:pStyle w:val="Heading3"/>
      </w:pPr>
      <w:r>
        <w:t xml:space="preserve">4.3. Summary of Product Carbon Footprint (PCF) for esoesgwqxz</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Scope 1</w:t>
            </w:r>
          </w:p>
        </w:tc>
        <w:tc>
          <w:tcPr/>
          <w:p>
            <w:pPr>
              <w:pStyle w:val="Compact"/>
            </w:pP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pPr>
          </w:p>
        </w:tc>
        <w:tc>
          <w:tcPr/>
          <w:p>
            <w:pPr>
              <w:pStyle w:val="Compact"/>
              <w:jc w:val="left"/>
            </w:pPr>
            <w:r>
              <w:t xml:space="preserve">Purchased Electricity for Manufacturing</w:t>
            </w:r>
          </w:p>
        </w:tc>
        <w:tc>
          <w:tcPr/>
          <w:p>
            <w:pPr>
              <w:pStyle w:val="Compact"/>
              <w:jc w:val="left"/>
            </w:pPr>
            <w:r>
              <w:t xml:space="preserve">0.62</w:t>
            </w:r>
          </w:p>
        </w:tc>
      </w:tr>
      <w:tr>
        <w:tc>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8.84</w:t>
            </w:r>
          </w:p>
        </w:tc>
      </w:tr>
      <w:tr>
        <w:tc>
          <w:tcPr/>
          <w:p>
            <w:pPr>
              <w:pStyle w:val="Compact"/>
              <w:jc w:val="left"/>
            </w:pPr>
            <w:r>
              <w:t xml:space="preserve">Scope 3</w:t>
            </w: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3.08</w:t>
            </w:r>
          </w:p>
        </w:tc>
      </w:tr>
      <w:tr>
        <w:tc>
          <w:tcPr/>
          <w:p>
            <w:pPr>
              <w:pStyle w:val="Compact"/>
              <w:jc w:val="left"/>
            </w:pPr>
            <w:r>
              <w:t xml:space="preserve">Scope 3</w:t>
            </w:r>
          </w:p>
        </w:tc>
        <w:tc>
          <w:tcPr/>
          <w:p>
            <w:pPr>
              <w:pStyle w:val="Compact"/>
              <w:jc w:val="left"/>
            </w:pPr>
            <w:r>
              <w:t xml:space="preserve">Category 9</w:t>
            </w:r>
          </w:p>
        </w:tc>
        <w:tc>
          <w:tcPr/>
          <w:p>
            <w:pPr>
              <w:pStyle w:val="Compact"/>
              <w:jc w:val="left"/>
            </w:pPr>
            <w:r>
              <w:t xml:space="preserve">Downstream Transportation and Distribution (Last-Mile)</w:t>
            </w:r>
          </w:p>
        </w:tc>
        <w:tc>
          <w:tcPr/>
          <w:p>
            <w:pPr>
              <w:pStyle w:val="Compact"/>
              <w:jc w:val="left"/>
            </w:pPr>
            <w:r>
              <w:t xml:space="preserve">0.23</w:t>
            </w:r>
          </w:p>
        </w:tc>
      </w:tr>
      <w:tr>
        <w:tc>
          <w:tcPr/>
          <w:p>
            <w:pPr>
              <w:pStyle w:val="Compact"/>
              <w:jc w:val="left"/>
            </w:pPr>
            <w:r>
              <w:t xml:space="preserve">Scope 3</w:t>
            </w: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10.55</w:t>
            </w:r>
          </w:p>
        </w:tc>
      </w:tr>
      <w:tr>
        <w:tc>
          <w:tcPr/>
          <w:p>
            <w:pPr>
              <w:pStyle w:val="Compact"/>
              <w:jc w:val="left"/>
            </w:pPr>
            <w:r>
              <w:t xml:space="preserve">Scope 3</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-3.51</w:t>
            </w:r>
          </w:p>
        </w:tc>
      </w:tr>
      <w:tr>
        <w:tc>
          <w:tcPr>
            <w:gridSpan w:val="3"/>
          </w:tcPr>
          <w:p>
            <w:pPr>
              <w:pStyle w:val="Compact"/>
              <w:jc w:val="right"/>
            </w:pPr>
            <w:r>
              <w:rPr>
                <w:bCs/>
                <w:b/>
              </w:rPr>
              <w:t xml:space="preserve">Total Product Carbon Footprint (per 1.0 unit):</w:t>
            </w:r>
          </w:p>
        </w:tc>
        <w:tc>
          <w:tcPr/>
          <w:p>
            <w:pPr>
              <w:pStyle w:val="Compact"/>
              <w:jc w:val="left"/>
            </w:pPr>
            <w:r>
              <w:rPr>
                <w:bCs/>
                <w:b/>
              </w:rPr>
              <w:t xml:space="preserve">19.81 kgCO2e</w:t>
            </w:r>
          </w:p>
        </w:tc>
      </w:tr>
    </w:tbl>
    <w:p>
      <w:r>
        <w:pict>
          <v:rect style="width:0;height:1.5pt" o:hralign="center" o:hrstd="t" o:hr="t"/>
        </w:pict>
      </w:r>
    </w:p>
    <w:bookmarkEnd w:id="41"/>
    <w:bookmarkEnd w:id="42"/>
    <w:bookmarkStart w:id="47"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analysis reveals the following major emission hotspots for</w:t>
      </w:r>
      <w:r>
        <w:t xml:space="preserve"> </w:t>
      </w:r>
      <w:r>
        <w:rPr>
          <w:bCs/>
          <w:b/>
        </w:rPr>
        <w:t xml:space="preserve">esoesgwqxz</w:t>
      </w:r>
      <w:r>
        <w:t xml:space="preserve">:</w:t>
      </w:r>
    </w:p>
    <w:p>
      <w:pPr>
        <w:numPr>
          <w:ilvl w:val="0"/>
          <w:numId w:val="1014"/>
        </w:numPr>
        <w:pStyle w:val="Compact"/>
      </w:pPr>
      <w:r>
        <w:rPr>
          <w:bCs/>
          <w:b/>
        </w:rPr>
        <w:t xml:space="preserve">Use Phase (53.25%):</w:t>
      </w:r>
      <w:r>
        <w:t xml:space="preserve"> </w:t>
      </w:r>
      <w:r>
        <w:t xml:space="preserve">The energy consumption during the product\'s 5-year lifespan in Europe is the most significant contributor to its carbon footprint, accounting for 10.55 kgCO2e. This highlights the importance of energy efficiency during product operation and the carbon intensity of the electricity grid in the region of use.</w:t>
      </w:r>
    </w:p>
    <w:p>
      <w:pPr>
        <w:numPr>
          <w:ilvl w:val="0"/>
          <w:numId w:val="1014"/>
        </w:numPr>
        <w:pStyle w:val="Compact"/>
      </w:pPr>
      <w:r>
        <w:rPr>
          <w:bCs/>
          <w:b/>
        </w:rPr>
        <w:t xml:space="preserve">Purchased Goods and Services (Materials) (44.62%):</w:t>
      </w:r>
      <w:r>
        <w:t xml:space="preserve"> </w:t>
      </w:r>
      <w:r>
        <w:t xml:space="preserve">The raw materials, particularly aluminum, electronics (PCB, battery), and plastic components, contribute substantially (8.84 kgCO2e). Focus on low-carbon materials, recycled content, and efficient manufacturing processes for these components is crucial.</w:t>
      </w:r>
    </w:p>
    <w:p>
      <w:pPr>
        <w:numPr>
          <w:ilvl w:val="0"/>
          <w:numId w:val="1014"/>
        </w:numPr>
        <w:pStyle w:val="Compact"/>
      </w:pPr>
      <w:r>
        <w:rPr>
          <w:bCs/>
          <w:b/>
        </w:rPr>
        <w:t xml:space="preserve">Upstream Transportation and Distribution (15.55%):</w:t>
      </w:r>
      <w:r>
        <w:t xml:space="preserve"> </w:t>
      </w:r>
      <w:r>
        <w:t xml:space="preserve">The transport of raw materials and components to the China factory accounts for 3.08 kgCO2e. Optimizing logistics, selecting lower-emission transport modes, and localizing supply chains can reduce this impact.</w:t>
      </w:r>
    </w:p>
    <w:p>
      <w:pPr>
        <w:numPr>
          <w:ilvl w:val="0"/>
          <w:numId w:val="1014"/>
        </w:numPr>
        <w:pStyle w:val="Compact"/>
      </w:pPr>
      <w:r>
        <w:rPr>
          <w:bCs/>
          <w:b/>
        </w:rPr>
        <w:t xml:space="preserve">End-of-Life (-17.72%):</w:t>
      </w:r>
      <w:r>
        <w:t xml:space="preserve"> </w:t>
      </w:r>
      <w:r>
        <w:t xml:space="preserve">Due to the high recyclability (80%) and robust circular/take-back programs, the End-of-Life stage provides a significant net carbon saving, demonstrating the positive impact of circular economy initiatives.</w:t>
      </w:r>
    </w:p>
    <w:bookmarkEnd w:id="43"/>
    <w:bookmarkStart w:id="44" w:name="reliability-and-limitations"/>
    <w:p>
      <w:pPr>
        <w:pStyle w:val="Heading3"/>
      </w:pPr>
      <w:r>
        <w:t xml:space="preserve">5.2. Reliability and Limitations</w:t>
      </w:r>
    </w:p>
    <w:p>
      <w:pPr>
        <w:pStyle w:val="FirstParagraph"/>
      </w:pPr>
      <w:r>
        <w:t xml:space="preserve">The calculations are based on the provided parameters and a combination of primary data (BOM structure, energy intensity, lifespan, recyclability) and secondary, industry-average emission factors (e.g., from Ecoinvent/DEFRA equivalents). While striving for high detail, some emission factors are generalized averages, which may introduce uncertainty compared to highly specific, supplier-specific data. The assumptions for transport modes, distances, and end-of-life processes are illustrative based on typical scenarios.</w:t>
      </w:r>
    </w:p>
    <w:bookmarkEnd w:id="44"/>
    <w:bookmarkStart w:id="45" w:name="Xa0167153afb08617bc1ef66f877fb2c58fdaeda"/>
    <w:p>
      <w:pPr>
        <w:pStyle w:val="Heading3"/>
      </w:pPr>
      <w:r>
        <w:t xml:space="preserve">5.3. Adherence to GHG Protocol and 2026 LSR Update</w:t>
      </w:r>
    </w:p>
    <w:p>
      <w:pPr>
        <w:numPr>
          <w:ilvl w:val="0"/>
          <w:numId w:val="1015"/>
        </w:numPr>
        <w:pStyle w:val="Compact"/>
      </w:pPr>
      <w:r>
        <w:t xml:space="preserve">The report strictly adheres to the GHG Protocol\'s Corporate Value Chain (Scope 3) Accounting and Reporting Standard for emission categorization and quantification.</w:t>
      </w:r>
    </w:p>
    <w:p>
      <w:pPr>
        <w:numPr>
          <w:ilvl w:val="0"/>
          <w:numId w:val="1015"/>
        </w:numPr>
        <w:pStyle w:val="Compact"/>
      </w:pPr>
      <w:r>
        <w:rPr>
          <w:bCs/>
          <w:b/>
        </w:rPr>
        <w:t xml:space="preserve">2026 LSR Update:</w:t>
      </w:r>
      <w:r>
        <w:t xml:space="preserve"> </w:t>
      </w:r>
      <w:r>
        <w:t xml:space="preserve">The Land Sector and Removals (LSR) Standard, released on January 30, 2026, and effective January 1, 2027, has been acknowledged. This standard provides methods to quantify and report land emissions and CO2 removals, including technological removals. While the product</w:t>
      </w:r>
      <w:r>
        <w:t xml:space="preserve"> </w:t>
      </w:r>
      <w:r>
        <w:rPr>
          <w:bCs/>
          <w:b/>
        </w:rPr>
        <w:t xml:space="preserve">esoesgwqxz</w:t>
      </w:r>
      <w:r>
        <w:t xml:space="preserve"> </w:t>
      </w:r>
      <w:r>
        <w:t xml:space="preserve">does not have direct land-use change or biogenic carbon removal impacts in its primary value chain, the implications of this standard for supply chains with significant agricultural or forestry components are noted for future considerations within</w:t>
      </w:r>
      <w:r>
        <w:t xml:space="preserve"> </w:t>
      </w:r>
      <w:r>
        <w:rPr>
          <w:bCs/>
          <w:b/>
        </w:rPr>
        <w:t xml:space="preserve">irogeujgzr</w:t>
      </w:r>
      <w:r>
        <w:t xml:space="preserve">\'s broader portfolio. The upcoming guidance in Q2 2026 will further refine implementation.</w:t>
      </w:r>
    </w:p>
    <w:p>
      <w:pPr>
        <w:numPr>
          <w:ilvl w:val="0"/>
          <w:numId w:val="1015"/>
        </w:numPr>
        <w:pStyle w:val="Compact"/>
      </w:pPr>
      <w:r>
        <w:rPr>
          <w:bCs/>
          <w:b/>
        </w:rPr>
        <w:t xml:space="preserve">Scope 3 Compliance:</w:t>
      </w:r>
      <w:r>
        <w:t xml:space="preserve"> </w:t>
      </w:r>
      <w:r>
        <w:t xml:space="preserve">As per the GHG Protocol\'s March 2026 progress update, a minimum of 95% coverage for total required Scope 3 emissions is a proposed compliance threshold. This analysis has strived for comprehensive coverage of relevant Scope 3 categories (Category 1, 4, 9, 11, 12) to meet or exceed this requirement, ensuring a robust and defensible Scope 3 inventory for</w:t>
      </w:r>
      <w:r>
        <w:t xml:space="preserve"> </w:t>
      </w:r>
      <w:r>
        <w:rPr>
          <w:bCs/>
          <w:b/>
        </w:rPr>
        <w:t xml:space="preserve">esoesgwqxz</w:t>
      </w:r>
      <w:r>
        <w:t xml:space="preserve">.</w:t>
      </w:r>
    </w:p>
    <w:bookmarkEnd w:id="45"/>
    <w:bookmarkStart w:id="46" w:name="recommendations"/>
    <w:p>
      <w:pPr>
        <w:pStyle w:val="Heading3"/>
      </w:pPr>
      <w:r>
        <w:t xml:space="preserve">5.4. Recommendations</w:t>
      </w:r>
    </w:p>
    <w:p>
      <w:pPr>
        <w:pStyle w:val="FirstParagraph"/>
      </w:pPr>
      <w:r>
        <w:t xml:space="preserve">Based on this PCF analysis,</w:t>
      </w:r>
      <w:r>
        <w:t xml:space="preserve"> </w:t>
      </w:r>
      <w:r>
        <w:rPr>
          <w:bCs/>
          <w:b/>
        </w:rPr>
        <w:t xml:space="preserve">irogeujgzr</w:t>
      </w:r>
      <w:r>
        <w:t xml:space="preserve"> </w:t>
      </w:r>
      <w:r>
        <w:t xml:space="preserve">should consider the following:</w:t>
      </w:r>
    </w:p>
    <w:p>
      <w:pPr>
        <w:numPr>
          <w:ilvl w:val="0"/>
          <w:numId w:val="1016"/>
        </w:numPr>
        <w:pStyle w:val="Compact"/>
      </w:pPr>
      <w:r>
        <w:rPr>
          <w:bCs/>
          <w:b/>
        </w:rPr>
        <w:t xml:space="preserve">Product Redesign for Use Phase Efficiency:</w:t>
      </w:r>
      <w:r>
        <w:t xml:space="preserve"> </w:t>
      </w:r>
      <w:r>
        <w:t xml:space="preserve">Explore design improvements for</w:t>
      </w:r>
      <w:r>
        <w:t xml:space="preserve"> </w:t>
      </w:r>
      <w:r>
        <w:rPr>
          <w:bCs/>
          <w:b/>
        </w:rPr>
        <w:t xml:space="preserve">esoesgwqxz</w:t>
      </w:r>
      <w:r>
        <w:t xml:space="preserve"> </w:t>
      </w:r>
      <w:r>
        <w:t xml:space="preserve">to reduce its energy consumption during the use phase, or investigate opportunities to encourage use in regions with lower-carbon electricity grids.</w:t>
      </w:r>
    </w:p>
    <w:p>
      <w:pPr>
        <w:numPr>
          <w:ilvl w:val="0"/>
          <w:numId w:val="1016"/>
        </w:numPr>
        <w:pStyle w:val="Compact"/>
      </w:pPr>
      <w:r>
        <w:rPr>
          <w:bCs/>
          <w:b/>
        </w:rPr>
        <w:t xml:space="preserve">Sustainable Material Sourcing:</w:t>
      </w:r>
      <w:r>
        <w:t xml:space="preserve"> </w:t>
      </w:r>
      <w:r>
        <w:t xml:space="preserve">Prioritize suppliers offering lower-carbon versions of aluminum, plastics, and electronic components, or increase the use of certified recycled content.</w:t>
      </w:r>
    </w:p>
    <w:p>
      <w:pPr>
        <w:numPr>
          <w:ilvl w:val="0"/>
          <w:numId w:val="1016"/>
        </w:numPr>
        <w:pStyle w:val="Compact"/>
      </w:pPr>
      <w:r>
        <w:rPr>
          <w:bCs/>
          <w:b/>
        </w:rPr>
        <w:t xml:space="preserve">Supply Chain Optimization:</w:t>
      </w:r>
      <w:r>
        <w:t xml:space="preserve"> </w:t>
      </w:r>
      <w:r>
        <w:t xml:space="preserve">Work with logistics partners to optimize transportation routes and modes for inbound raw materials, favoring lower-emission options like rail or sea freight where feasible.</w:t>
      </w:r>
    </w:p>
    <w:p>
      <w:pPr>
        <w:numPr>
          <w:ilvl w:val="0"/>
          <w:numId w:val="1016"/>
        </w:numPr>
        <w:pStyle w:val="Compact"/>
      </w:pPr>
      <w:r>
        <w:rPr>
          <w:bCs/>
          <w:b/>
        </w:rPr>
        <w:t xml:space="preserve">Enhance Circularity:</w:t>
      </w:r>
      <w:r>
        <w:t xml:space="preserve"> </w:t>
      </w:r>
      <w:r>
        <w:t xml:space="preserve">Continue to strengthen and promote existing circular/take-back programs to maximize the product\'s recyclability and capture the associated carbon benefits.</w:t>
      </w:r>
    </w:p>
    <w:p>
      <w:pPr>
        <w:numPr>
          <w:ilvl w:val="0"/>
          <w:numId w:val="1016"/>
        </w:numPr>
        <w:pStyle w:val="Compact"/>
      </w:pPr>
      <w:r>
        <w:rPr>
          <w:bCs/>
          <w:b/>
        </w:rPr>
        <w:t xml:space="preserve">Data Refinement:</w:t>
      </w:r>
      <w:r>
        <w:t xml:space="preserve"> </w:t>
      </w:r>
      <w:r>
        <w:t xml:space="preserve">Seek primary, supplier-specific data for key emission hotspots to improve the accuracy and granularity of future PCF analyses.</w:t>
      </w:r>
    </w:p>
    <w:p>
      <w:r>
        <w:pict>
          <v:rect style="width:0;height:1.5pt" o:hralign="center" o:hrstd="t" o:hr="t"/>
        </w:pict>
      </w:r>
    </w:p>
    <w:p>
      <w:pPr>
        <w:pStyle w:val="FirstParagraph"/>
      </w:pPr>
      <w:r>
        <w:t xml:space="preserve">Confidential - Internal Use Only</w:t>
      </w:r>
    </w:p>
    <w:p>
      <w:pPr>
        <w:pStyle w:val="BodyText"/>
      </w:pPr>
      <w:r>
        <w:t xml:space="preserve">Report ID: PCF-esoesgwqxz-20260523</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esoesgwqxz</dc:title>
  <dc:creator/>
  <dc:description>High-detail Product Carbon Footprint (PCF) analysis for esoesgwqxz by Senior Sustainability Consultant rordjpluxm, adhering to GHG Protocol and 2026 LSR Update.</dc:description>
  <dc:language>en</dc:language>
  <cp:keywords/>
  <dcterms:created xsi:type="dcterms:W3CDTF">2026-05-30T22:13:24Z</dcterms:created>
  <dcterms:modified xsi:type="dcterms:W3CDTF">2026-05-30T22:13:24Z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