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erosjiuooq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rosjiuooq"/>
    <w:p>
      <w:pPr>
        <w:pStyle w:val="Heading2"/>
      </w:pPr>
      <w:r>
        <w:t xml:space="preserve">Product: erosjiuooq</w:t>
      </w:r>
    </w:p>
    <w:p>
      <w:pPr>
        <w:pStyle w:val="FirstParagraph"/>
      </w:pPr>
      <w:r>
        <w:t xml:space="preserve">**Company Name:** uktuuyrxnk</w:t>
      </w:r>
    </w:p>
    <w:p>
      <w:pPr>
        <w:pStyle w:val="BodyText"/>
      </w:pPr>
      <w:r>
        <w:t xml:space="preserve">**Senior Sustainability Consultant:** zeoikyzuyk</w:t>
      </w:r>
    </w:p>
    <w:p>
      <w:pPr>
        <w:pStyle w:val="BodyText"/>
      </w:pPr>
      <w:r>
        <w:t xml:space="preserve">**Accounting Standard:** GHG Protocol</w:t>
      </w:r>
    </w:p>
    <w:p>
      <w:pPr>
        <w:pStyle w:val="BodyText"/>
      </w:pPr>
      <w:r>
        <w:t xml:space="preserve">This report is generated based on available data and industry standards. All calculations and estimations are made with the best available information at the time of publication and are subject to inherent uncertainties in Life Cycle Assessment (LCA).</w:t>
      </w:r>
    </w:p>
    <w:p>
      <w:pPr>
        <w:pStyle w:val="BodyText"/>
      </w:pPr>
      <w:r>
        <w:t xml:space="preserve">Generated Date:</w:t>
      </w:r>
    </w:p>
    <w:bookmarkEnd w:id="20"/>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erosjiuooq</w:t>
      </w:r>
      <w:r>
        <w:t xml:space="preserve">, manufactured by</w:t>
      </w:r>
      <w:r>
        <w:t xml:space="preserve"> </w:t>
      </w:r>
      <w:r>
        <w:rPr>
          <w:bCs/>
          <w:b/>
        </w:rPr>
        <w:t xml:space="preserve">uktuuyrxnk</w:t>
      </w:r>
      <w:r>
        <w:t xml:space="preserve">. The analysis, conducted by Senior Sustainability Consultant</w:t>
      </w:r>
      <w:r>
        <w:t xml:space="preserve"> </w:t>
      </w:r>
      <w:r>
        <w:rPr>
          <w:bCs/>
          <w:b/>
        </w:rPr>
        <w:t xml:space="preserve">zeoikyzuyk</w:t>
      </w:r>
      <w:r>
        <w:t xml:space="preserve">, adheres to the Greenhouse Gas (GHG) Protocol Accounting Standard, including considerations for the 2026 Land Sector and Removals (LSR) Standard update and aiming for at least 95% Scope 3 coverage. The primary objective is to quantify the greenhouse gas emissions associated with the product\'s lifecycle from a factory-gate perspective, extending to the use phase and end-of-life, to identify key emission hotspots and inform reduction strategies.</w:t>
      </w:r>
    </w:p>
    <w:p>
      <w:pPr>
        <w:pStyle w:val="BodyText"/>
      </w:pPr>
      <w:r>
        <w:t xml:space="preserve">The total estimated Product Carbon Footprint for one functional unit of erosjiuooq is calculated based on materials, manufacturing, transport, use phase, and end-of-life scenarios, utilizing provided specific data and industry-standard emission factors. The analysis highlights the most impactful stages and recommends areas for environmental improvement.</w:t>
      </w:r>
    </w:p>
    <w:p>
      <w:r>
        <w:pict>
          <v:rect style="width:0;height:1.5pt" o:hralign="center" o:hrstd="t" o:hr="t"/>
        </w:pict>
      </w:r>
    </w:p>
    <w:bookmarkEnd w:id="22"/>
    <w:bookmarkStart w:id="28" w:name="methodology-and-scope-definition"/>
    <w:p>
      <w:pPr>
        <w:pStyle w:val="Heading1"/>
      </w:pPr>
      <w:r>
        <w:t xml:space="preserve">1. Methodology and Scope Definition</w:t>
      </w:r>
    </w:p>
    <w:bookmarkStart w:id="23" w:name="accounting-standard"/>
    <w:p>
      <w:pPr>
        <w:pStyle w:val="Heading2"/>
      </w:pPr>
      <w:r>
        <w:t xml:space="preserve">1.1. Accounting Standard</w:t>
      </w:r>
    </w:p>
    <w:p>
      <w:pPr>
        <w:pStyle w:val="FirstParagraph"/>
      </w:pPr>
      <w:r>
        <w:t xml:space="preserve">This Product Carbon Footprint (PCF) analysis is conducted in accordance with the</w:t>
      </w:r>
      <w:r>
        <w:t xml:space="preserve"> </w:t>
      </w:r>
      <w:r>
        <w:rPr>
          <w:bCs/>
          <w:b/>
        </w:rPr>
        <w:t xml:space="preserve">GHG Protocol Product Standard</w:t>
      </w:r>
      <w:r>
        <w:t xml:space="preserve">, providing a comprehensive framework for quantifying and reporting product-level greenhouse gas emissions across the value chain. All emissions are categorized into Scope 1 (direct emissions), Scope 2 (indirect emissions from purchased energy), and Scope 3 (all other indirect emissions in the value chain).</w:t>
      </w:r>
    </w:p>
    <w:p>
      <w:pPr>
        <w:pStyle w:val="BodyText"/>
      </w:pPr>
      <w:r>
        <w:t xml:space="preserve">In anticipation of future requirements, this assessment also considers the</w:t>
      </w:r>
      <w:r>
        <w:t xml:space="preserve"> </w:t>
      </w:r>
      <w:r>
        <w:rPr>
          <w:bCs/>
          <w:b/>
        </w:rPr>
        <w:t xml:space="preserve">GHG Protocol\'s 2026 Land Sector and Removals (LSR) Standard update</w:t>
      </w:r>
      <w:r>
        <w:t xml:space="preserve">. The LSR Standard, effective January 1, 2027, provides crucial guidance for accounting for land sector emissions (e.g., land use change, land management) and CO2 removals. While specific land-use data for the product\'s components or operations was not provided, the framework for incorporating such emissions and removals has been acknowledged and will be integrated as relevant data becomes available.</w:t>
      </w:r>
    </w:p>
    <w:bookmarkEnd w:id="23"/>
    <w:bookmarkStart w:id="24" w:name="functional-unit"/>
    <w:p>
      <w:pPr>
        <w:pStyle w:val="Heading2"/>
      </w:pPr>
      <w:r>
        <w:t xml:space="preserve">1.2. Functional Unit</w:t>
      </w:r>
    </w:p>
    <w:p>
      <w:pPr>
        <w:pStyle w:val="FirstParagraph"/>
      </w:pPr>
      <w:r>
        <w:t xml:space="preserve">The functional unit for this PCF analysis is defined as</w:t>
      </w:r>
      <w:r>
        <w:t xml:space="preserve"> </w:t>
      </w:r>
      <w:r>
        <w:rPr>
          <w:bCs/>
          <w:b/>
        </w:rPr>
        <w:t xml:space="preserve">1.0 unit of erosjiuooq</w:t>
      </w:r>
      <w:r>
        <w:t xml:space="preserve">. All emissions are calculated per this functional unit, ensuring comparability and scalability of results.</w:t>
      </w:r>
    </w:p>
    <w:bookmarkEnd w:id="24"/>
    <w:bookmarkStart w:id="25" w:name="system-boundary"/>
    <w:p>
      <w:pPr>
        <w:pStyle w:val="Heading2"/>
      </w:pPr>
      <w:r>
        <w:t xml:space="preserve">1.3. System Boundary</w:t>
      </w:r>
    </w:p>
    <w:p>
      <w:pPr>
        <w:pStyle w:val="FirstParagraph"/>
      </w:pPr>
      <w:r>
        <w:t xml:space="preserve">The system boundary for this assessment is defined as</w:t>
      </w:r>
      <w:r>
        <w:t xml:space="preserve"> </w:t>
      </w:r>
      <w:r>
        <w:rPr>
          <w:bCs/>
          <w:b/>
        </w:rPr>
        <w:t xml:space="preserve">factory-gate</w:t>
      </w:r>
      <w:r>
        <w:t xml:space="preserve">, which means it encompasses all processes from raw material acquisition, through manufacturing and assembly up to the point the finished product leaves the factory gate. Additionally, the analysis extends to include the product\'s use phase and end-of-life treatment, providing a cradle-to-grave perspective for a more complete understanding of its environmental impact.</w:t>
      </w:r>
    </w:p>
    <w:bookmarkEnd w:id="25"/>
    <w:bookmarkStart w:id="26" w:name="geographic-scope"/>
    <w:p>
      <w:pPr>
        <w:pStyle w:val="Heading2"/>
      </w:pPr>
      <w:r>
        <w:t xml:space="preserve">1.4. Geographic Scope</w:t>
      </w:r>
    </w:p>
    <w:p>
      <w:pPr>
        <w:pStyle w:val="FirstParagraph"/>
      </w:pPr>
      <w:r>
        <w:t xml:space="preserve">The final production country for erosjiuooq is</w:t>
      </w:r>
      <w:r>
        <w:t xml:space="preserve"> </w:t>
      </w:r>
      <w:r>
        <w:rPr>
          <w:bCs/>
          <w:b/>
        </w:rPr>
        <w:t xml:space="preserve">China</w:t>
      </w:r>
      <w:r>
        <w:t xml:space="preserve">. The supply chain focus is explicitly</w:t>
      </w:r>
      <w:r>
        <w:t xml:space="preserve"> </w:t>
      </w:r>
      <w:r>
        <w:rPr>
          <w:bCs/>
          <w:b/>
        </w:rPr>
        <w:t xml:space="preserve">Europe Focused</w:t>
      </w:r>
      <w:r>
        <w:t xml:space="preserve">, implying that raw material sourcing and intermediate manufacturing steps are predominantly located within Europe, with final assembly occurring in China. The use phase is assumed to occur primarily within Europe given the supply chain focus.</w:t>
      </w:r>
    </w:p>
    <w:bookmarkEnd w:id="26"/>
    <w:bookmarkStart w:id="27" w:name="allocation"/>
    <w:p>
      <w:pPr>
        <w:pStyle w:val="Heading2"/>
      </w:pPr>
      <w:r>
        <w:t xml:space="preserve">1.5. Allocation</w:t>
      </w:r>
    </w:p>
    <w:p>
      <w:pPr>
        <w:pStyle w:val="FirstParagraph"/>
      </w:pPr>
      <w:r>
        <w:t xml:space="preserve">Emissions are allocated to the functional unit based on mass and economic allocation principles as per GHG Protocol guidance, particularly for multi-product processes where necessary. For this single-product analysis, direct allocation of relevant emissions to the 1.0 unit of erosjiuooq is primarily applied.</w:t>
      </w:r>
    </w:p>
    <w:p>
      <w:r>
        <w:pict>
          <v:rect style="width:0;height:1.5pt" o:hralign="center" o:hrstd="t" o:hr="t"/>
        </w:pict>
      </w:r>
    </w:p>
    <w:bookmarkEnd w:id="27"/>
    <w:bookmarkEnd w:id="28"/>
    <w:bookmarkStart w:id="33" w:name="lifecycle-mapping-and-data-collection"/>
    <w:p>
      <w:pPr>
        <w:pStyle w:val="Heading1"/>
      </w:pPr>
      <w:r>
        <w:t xml:space="preserve">2. Lifecycle Mapping and Data Collection</w:t>
      </w:r>
    </w:p>
    <w:bookmarkStart w:id="29" w:name="lifecycle-stages-and-inventory"/>
    <w:p>
      <w:pPr>
        <w:pStyle w:val="Heading2"/>
      </w:pPr>
      <w:r>
        <w:t xml:space="preserve">2.1. Lifecycle Stages and Inventory</w:t>
      </w:r>
    </w:p>
    <w:p>
      <w:pPr>
        <w:pStyle w:val="FirstParagraph"/>
      </w:pPr>
      <w:r>
        <w:t xml:space="preserve">The lifecycle of erosjiuooq is mapped across the following key stages to capture all significant greenhouse gas emissions:</w:t>
      </w:r>
    </w:p>
    <w:p>
      <w:pPr>
        <w:numPr>
          <w:ilvl w:val="0"/>
          <w:numId w:val="1001"/>
        </w:numPr>
        <w:pStyle w:val="Compact"/>
      </w:pPr>
      <w:r>
        <w:rPr>
          <w:bCs/>
          <w:b/>
        </w:rPr>
        <w:t xml:space="preserve">Materials Acquisition &amp; Pre-processing (Upstream Scope 3):</w:t>
      </w:r>
      <w:r>
        <w:t xml:space="preserve"> </w:t>
      </w:r>
      <w:r>
        <w:t xml:space="preserve">Extraction, processing, and refining of raw materials, and manufacturing of components.</w:t>
      </w:r>
    </w:p>
    <w:p>
      <w:pPr>
        <w:numPr>
          <w:ilvl w:val="0"/>
          <w:numId w:val="1001"/>
        </w:numPr>
        <w:pStyle w:val="Compact"/>
      </w:pPr>
      <w:r>
        <w:rPr>
          <w:bCs/>
          <w:b/>
        </w:rPr>
        <w:t xml:space="preserve">Manufacturing &amp; Assembly (Scope 1 &amp; 2):</w:t>
      </w:r>
      <w:r>
        <w:t xml:space="preserve"> </w:t>
      </w:r>
      <w:r>
        <w:t xml:space="preserve">Energy consumption and direct emissions during the production of erosjiuooq at the uktuuyrxnk facility.</w:t>
      </w:r>
    </w:p>
    <w:p>
      <w:pPr>
        <w:numPr>
          <w:ilvl w:val="0"/>
          <w:numId w:val="1001"/>
        </w:numPr>
        <w:pStyle w:val="Compact"/>
      </w:pPr>
      <w:r>
        <w:rPr>
          <w:bCs/>
          <w:b/>
        </w:rPr>
        <w:t xml:space="preserve">Transport &amp; Distribution (Upstream &amp; Downstream Scope 3):</w:t>
      </w:r>
      <w:r>
        <w:t xml:space="preserve"> </w:t>
      </w:r>
      <w:r>
        <w:t xml:space="preserve">Transportation of raw materials and components to the factory (upstream) and delivery of the finished product to the customer, including last-mile delivery (downstream).</w:t>
      </w:r>
    </w:p>
    <w:p>
      <w:pPr>
        <w:numPr>
          <w:ilvl w:val="0"/>
          <w:numId w:val="1001"/>
        </w:numPr>
        <w:pStyle w:val="Compact"/>
      </w:pPr>
      <w:r>
        <w:rPr>
          <w:bCs/>
          <w:b/>
        </w:rPr>
        <w:t xml:space="preserve">Use Phase (Downstream Scope 3):</w:t>
      </w:r>
      <w:r>
        <w:t xml:space="preserve"> </w:t>
      </w:r>
      <w:r>
        <w:t xml:space="preserve">Energy consumption and other impacts associated with the product\'s intended use over its lifespan.</w:t>
      </w:r>
    </w:p>
    <w:p>
      <w:pPr>
        <w:numPr>
          <w:ilvl w:val="0"/>
          <w:numId w:val="1001"/>
        </w:numPr>
        <w:pStyle w:val="Compact"/>
      </w:pPr>
      <w:r>
        <w:rPr>
          <w:bCs/>
          <w:b/>
        </w:rPr>
        <w:t xml:space="preserve">End-of-Life (Downstream Scope 3):</w:t>
      </w:r>
      <w:r>
        <w:t xml:space="preserve"> </w:t>
      </w:r>
      <w:r>
        <w:t xml:space="preserve">Disposal, recycling, or recovery processes at the end of the product\'s life.</w:t>
      </w:r>
    </w:p>
    <w:bookmarkEnd w:id="29"/>
    <w:bookmarkStart w:id="30" w:name="data-collection---primary-data-points"/>
    <w:p>
      <w:pPr>
        <w:pStyle w:val="Heading2"/>
      </w:pPr>
      <w:r>
        <w:t xml:space="preserve">2.2. Data Collection - Primary Data Points</w:t>
      </w:r>
    </w:p>
    <w:p>
      <w:pPr>
        <w:pStyle w:val="FirstParagraph"/>
      </w:pPr>
      <w:r>
        <w:t xml:space="preserve">The following specific parameters were provided by uktuuyrxnk for this analysis:</w:t>
      </w:r>
    </w:p>
    <w:p>
      <w:pPr>
        <w:numPr>
          <w:ilvl w:val="0"/>
          <w:numId w:val="1002"/>
        </w:numPr>
        <w:pStyle w:val="Compact"/>
      </w:pPr>
      <w:r>
        <w:rPr>
          <w:bCs/>
          <w:b/>
        </w:rPr>
        <w:t xml:space="preserve">Detailed Bill of Materials (BOM):</w:t>
      </w:r>
      <w:r>
        <w:t xml:space="preserve"> </w:t>
      </w:r>
      <w:r>
        <w:t xml:space="preserve">wxqromuh (Illustrative example used for calculation)</w:t>
      </w:r>
    </w:p>
    <w:p>
      <w:pPr>
        <w:numPr>
          <w:ilvl w:val="0"/>
          <w:numId w:val="1002"/>
        </w:numPr>
        <w:pStyle w:val="Compact"/>
      </w:pPr>
      <w:r>
        <w:rPr>
          <w:bCs/>
          <w:b/>
        </w:rPr>
        <w:t xml:space="preserve">Transport Mode:</w:t>
      </w:r>
      <w:r>
        <w:t xml:space="preserve"> </w:t>
      </w:r>
      <w:r>
        <w:t xml:space="preserve">Select Mode (Assumed: Road freight)</w:t>
      </w:r>
    </w:p>
    <w:p>
      <w:pPr>
        <w:numPr>
          <w:ilvl w:val="0"/>
          <w:numId w:val="1002"/>
        </w:numPr>
        <w:pStyle w:val="Compact"/>
      </w:pPr>
      <w:r>
        <w:rPr>
          <w:bCs/>
          <w:b/>
        </w:rPr>
        <w:t xml:space="preserve">Transport Distance:</w:t>
      </w:r>
      <w:r>
        <w:t xml:space="preserve"> </w:t>
      </w:r>
      <w:r>
        <w:t xml:space="preserve">gjqnsinpph (Illustrative: 1500 km)</w:t>
      </w:r>
    </w:p>
    <w:p>
      <w:pPr>
        <w:numPr>
          <w:ilvl w:val="0"/>
          <w:numId w:val="1002"/>
        </w:numPr>
        <w:pStyle w:val="Compact"/>
      </w:pPr>
      <w:r>
        <w:rPr>
          <w:bCs/>
          <w:b/>
        </w:rPr>
        <w:t xml:space="preserve">Last-Mile Delivery Channel:</w:t>
      </w:r>
      <w:r>
        <w:t xml:space="preserve"> </w:t>
      </w:r>
      <w:r>
        <w:t xml:space="preserve">Delivery Type (Assumed: Van delivery)</w:t>
      </w:r>
    </w:p>
    <w:p>
      <w:pPr>
        <w:numPr>
          <w:ilvl w:val="0"/>
          <w:numId w:val="1002"/>
        </w:numPr>
        <w:pStyle w:val="Compact"/>
      </w:pPr>
      <w:r>
        <w:rPr>
          <w:bCs/>
          <w:b/>
        </w:rPr>
        <w:t xml:space="preserve">Renewable Energy Usage (Production):</w:t>
      </w:r>
      <w:r>
        <w:t xml:space="preserve"> </w:t>
      </w:r>
      <w:r>
        <w:t xml:space="preserve">fshrjlvizv (Illustrative: 60%)</w:t>
      </w:r>
    </w:p>
    <w:p>
      <w:pPr>
        <w:numPr>
          <w:ilvl w:val="0"/>
          <w:numId w:val="1002"/>
        </w:numPr>
        <w:pStyle w:val="Compact"/>
      </w:pPr>
      <w:r>
        <w:rPr>
          <w:bCs/>
          <w:b/>
        </w:rPr>
        <w:t xml:space="preserve">Energy Intensity (kWh/unit - Production):</w:t>
      </w:r>
      <w:r>
        <w:t xml:space="preserve"> </w:t>
      </w:r>
      <w:r>
        <w:t xml:space="preserve">rjdojeuhzr (Illustrative: 15 kWh/unit)</w:t>
      </w:r>
    </w:p>
    <w:p>
      <w:pPr>
        <w:numPr>
          <w:ilvl w:val="0"/>
          <w:numId w:val="1002"/>
        </w:numPr>
        <w:pStyle w:val="Compact"/>
      </w:pPr>
      <w:r>
        <w:rPr>
          <w:bCs/>
          <w:b/>
        </w:rPr>
        <w:t xml:space="preserve">Product Lifespan:</w:t>
      </w:r>
      <w:r>
        <w:t xml:space="preserve"> </w:t>
      </w:r>
      <w:r>
        <w:t xml:space="preserve">pggtnxkvxr (Illustrative: 5 years)</w:t>
      </w:r>
    </w:p>
    <w:p>
      <w:pPr>
        <w:numPr>
          <w:ilvl w:val="0"/>
          <w:numId w:val="1002"/>
        </w:numPr>
        <w:pStyle w:val="Compact"/>
      </w:pPr>
      <w:r>
        <w:rPr>
          <w:bCs/>
          <w:b/>
        </w:rPr>
        <w:t xml:space="preserve">Energy Consumption in Use:</w:t>
      </w:r>
      <w:r>
        <w:t xml:space="preserve"> </w:t>
      </w:r>
      <w:r>
        <w:t xml:space="preserve">njpghxhnqw (Illustrative: 10 kWh/year)</w:t>
      </w:r>
    </w:p>
    <w:p>
      <w:pPr>
        <w:numPr>
          <w:ilvl w:val="0"/>
          <w:numId w:val="1002"/>
        </w:numPr>
        <w:pStyle w:val="Compact"/>
      </w:pPr>
      <w:r>
        <w:rPr>
          <w:bCs/>
          <w:b/>
        </w:rPr>
        <w:t xml:space="preserve">Recyclability Percentage:</w:t>
      </w:r>
      <w:r>
        <w:t xml:space="preserve"> </w:t>
      </w:r>
      <w:r>
        <w:t xml:space="preserve">dirskfowhk (Illustrative: 70%)</w:t>
      </w:r>
    </w:p>
    <w:p>
      <w:pPr>
        <w:numPr>
          <w:ilvl w:val="0"/>
          <w:numId w:val="1002"/>
        </w:numPr>
        <w:pStyle w:val="Compact"/>
      </w:pPr>
      <w:r>
        <w:rPr>
          <w:bCs/>
          <w:b/>
        </w:rPr>
        <w:t xml:space="preserve">Circular/Take-back Programs:</w:t>
      </w:r>
      <w:r>
        <w:t xml:space="preserve"> </w:t>
      </w:r>
      <w:r>
        <w:t xml:space="preserve">uuyijoqsje (Illustrative: Active take-back program for key components)</w:t>
      </w:r>
    </w:p>
    <w:bookmarkEnd w:id="30"/>
    <w:bookmarkStart w:id="31" w:name="X26628a0193236d125413a42c846e886bde38f9c"/>
    <w:p>
      <w:pPr>
        <w:pStyle w:val="Heading2"/>
      </w:pPr>
      <w:r>
        <w:t xml:space="preserve">2.3. Data Collection - Detailed Bill of Materials (BOM)</w:t>
      </w:r>
    </w:p>
    <w:p>
      <w:pPr>
        <w:pStyle w:val="FirstParagraph"/>
      </w:pPr>
      <w:r>
        <w:t xml:space="preserve">The provided BOM (wxqromuh) is crucial for accurate material impact calculations. For the purpose of this report, the following illustrative BOM data has been used, adhering to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w:t>
            </w:r>
          </w:p>
        </w:tc>
      </w:tr>
    </w:tbl>
    <w:p>
      <w:pPr>
        <w:pStyle w:val="BodyText"/>
      </w:pPr>
      <w:r>
        <w:t xml:space="preserve">The "Total Carbon (kg CO2e)" values provided for each BOM item are directly utilized in the calculations for material impacts.</w:t>
      </w:r>
    </w:p>
    <w:bookmarkEnd w:id="31"/>
    <w:bookmarkStart w:id="32" w:name="Xc8de2dfc68fbc3f85804ad3dd1e6a29b2cf802e"/>
    <w:p>
      <w:pPr>
        <w:pStyle w:val="Heading2"/>
      </w:pPr>
      <w:r>
        <w:t xml:space="preserve">2.4. Data Collection - Secondary Data Points &amp; Emission Factors</w:t>
      </w:r>
    </w:p>
    <w:p>
      <w:pPr>
        <w:pStyle w:val="FirstParagraph"/>
      </w:pPr>
      <w:r>
        <w:t xml:space="preserve">For parameters where specific emission factors were not provided, industry-standard emission factors from reputable databases such as Ecoinvent and DEFRA have been utilized. Illustrative emission factors used in this report, based on general averages from these sources, are detailed below. It is important to note that these are generalized factors; product-specific or supplier-specific data would yield higher accuracy.</w:t>
      </w:r>
    </w:p>
    <w:p>
      <w:pPr>
        <w:numPr>
          <w:ilvl w:val="0"/>
          <w:numId w:val="1003"/>
        </w:numPr>
        <w:pStyle w:val="Compact"/>
      </w:pPr>
      <w:r>
        <w:rPr>
          <w:bCs/>
          <w:b/>
        </w:rPr>
        <w:t xml:space="preserve">Electricity Grid Mix (China):</w:t>
      </w:r>
      <w:r>
        <w:t xml:space="preserve"> </w:t>
      </w:r>
      <w:r>
        <w:t xml:space="preserve">0.55 kg CO2e/kWh (Illustrative average)</w:t>
      </w:r>
    </w:p>
    <w:p>
      <w:pPr>
        <w:numPr>
          <w:ilvl w:val="0"/>
          <w:numId w:val="1003"/>
        </w:numPr>
        <w:pStyle w:val="Compact"/>
      </w:pPr>
      <w:r>
        <w:rPr>
          <w:bCs/>
          <w:b/>
        </w:rPr>
        <w:t xml:space="preserve">Electricity Grid Mix (Europe):</w:t>
      </w:r>
      <w:r>
        <w:t xml:space="preserve"> </w:t>
      </w:r>
      <w:r>
        <w:t xml:space="preserve">0.25 kg CO2e/kWh (Illustrative average)</w:t>
      </w:r>
    </w:p>
    <w:p>
      <w:pPr>
        <w:numPr>
          <w:ilvl w:val="0"/>
          <w:numId w:val="1003"/>
        </w:numPr>
        <w:pStyle w:val="Compact"/>
      </w:pPr>
      <w:r>
        <w:rPr>
          <w:bCs/>
          <w:b/>
        </w:rPr>
        <w:t xml:space="preserve">Road Freight (Heavy Goods Vehicle, Euro VI):</w:t>
      </w:r>
      <w:r>
        <w:t xml:space="preserve"> </w:t>
      </w:r>
      <w:r>
        <w:t xml:space="preserve">0.08 kg CO2e/tonne-km (Illustrative average for long-haul)</w:t>
      </w:r>
    </w:p>
    <w:p>
      <w:pPr>
        <w:numPr>
          <w:ilvl w:val="0"/>
          <w:numId w:val="1003"/>
        </w:numPr>
        <w:pStyle w:val="Compact"/>
      </w:pPr>
      <w:r>
        <w:rPr>
          <w:bCs/>
          <w:b/>
        </w:rPr>
        <w:t xml:space="preserve">Last-Mile Delivery (Diesel Van):</w:t>
      </w:r>
      <w:r>
        <w:t xml:space="preserve"> </w:t>
      </w:r>
      <w:r>
        <w:t xml:space="preserve">0.25 kg CO2e/package (Illustrative average)</w:t>
      </w:r>
    </w:p>
    <w:p>
      <w:pPr>
        <w:numPr>
          <w:ilvl w:val="0"/>
          <w:numId w:val="1003"/>
        </w:numPr>
        <w:pStyle w:val="Compact"/>
      </w:pPr>
      <w:r>
        <w:rPr>
          <w:bCs/>
          <w:b/>
        </w:rPr>
        <w:t xml:space="preserve">End-of-Life Recycling Credit (Mixed Materials):</w:t>
      </w:r>
      <w:r>
        <w:t xml:space="preserve"> </w:t>
      </w:r>
      <w:r>
        <w:t xml:space="preserve">-0.5 kg CO2e/kg (Illustrative average credit for materials diverted from landfill)</w:t>
      </w:r>
    </w:p>
    <w:p>
      <w:r>
        <w:pict>
          <v:rect style="width:0;height:1.5pt" o:hralign="center" o:hrstd="t" o:hr="t"/>
        </w:pict>
      </w:r>
    </w:p>
    <w:bookmarkEnd w:id="32"/>
    <w:bookmarkEnd w:id="33"/>
    <w:bookmarkStart w:id="45" w:name="X439a6e6dcb43c636bf515ffaf3f59bce0bd6490"/>
    <w:p>
      <w:pPr>
        <w:pStyle w:val="Heading1"/>
      </w:pPr>
      <w:r>
        <w:t xml:space="preserve">3. Emission Calculation (Activity * Emission Factor = CO2e)</w:t>
      </w:r>
    </w:p>
    <w:p>
      <w:pPr>
        <w:pStyle w:val="FirstParagraph"/>
      </w:pPr>
      <w:r>
        <w:t xml:space="preserve">This section details the calculation of emissions across different lifecycle stages, categorized by GHG Protocol Scopes. All calculations are performed for one functional unit of erosjiuooq.</w:t>
      </w:r>
    </w:p>
    <w:bookmarkStart w:id="36" w:name="upstream-emissions-scope-3"/>
    <w:p>
      <w:pPr>
        <w:pStyle w:val="Heading2"/>
      </w:pPr>
      <w:r>
        <w:t xml:space="preserve">3.1. Upstream Emissions (Scope 3)</w:t>
      </w:r>
    </w:p>
    <w:bookmarkStart w:id="34" w:name="materials-acquisition-pre-processing"/>
    <w:p>
      <w:pPr>
        <w:pStyle w:val="Heading3"/>
      </w:pPr>
      <w:r>
        <w:t xml:space="preserve">3.1.1. Materials Acquisition &amp; Pre-processing</w:t>
      </w:r>
    </w:p>
    <w:p>
      <w:pPr>
        <w:pStyle w:val="FirstParagraph"/>
      </w:pPr>
      <w:r>
        <w:t xml:space="preserve">The total carbon footprint from materials is derived directly from the provided "Total Carbon" values in the illustrative Bill of Materials (BOM).</w:t>
      </w:r>
    </w:p>
    <w:p>
      <w:pPr>
        <w:numPr>
          <w:ilvl w:val="0"/>
          <w:numId w:val="1004"/>
        </w:numPr>
        <w:pStyle w:val="Compact"/>
      </w:pPr>
      <w:r>
        <w:t xml:space="preserve">Aluminium Casing: 2.00 kg CO2e</w:t>
      </w:r>
    </w:p>
    <w:p>
      <w:pPr>
        <w:numPr>
          <w:ilvl w:val="0"/>
          <w:numId w:val="1004"/>
        </w:numPr>
        <w:pStyle w:val="Compact"/>
      </w:pPr>
      <w:r>
        <w:t xml:space="preserve">Plastic Components: 0.30 kg CO2e</w:t>
      </w:r>
    </w:p>
    <w:p>
      <w:pPr>
        <w:numPr>
          <w:ilvl w:val="0"/>
          <w:numId w:val="1004"/>
        </w:numPr>
        <w:pStyle w:val="Compact"/>
      </w:pPr>
      <w:r>
        <w:t xml:space="preserve">Electronic Board: 1.00 kg CO2e</w:t>
      </w:r>
    </w:p>
    <w:p>
      <w:pPr>
        <w:numPr>
          <w:ilvl w:val="0"/>
          <w:numId w:val="1004"/>
        </w:numPr>
        <w:pStyle w:val="Compact"/>
      </w:pPr>
      <w:r>
        <w:t xml:space="preserve">Packaging (Cardboard): 0.04 kg CO2e</w:t>
      </w:r>
    </w:p>
    <w:p>
      <w:pPr>
        <w:numPr>
          <w:ilvl w:val="0"/>
          <w:numId w:val="1004"/>
        </w:numPr>
        <w:pStyle w:val="Compact"/>
      </w:pPr>
      <w:r>
        <w:rPr>
          <w:bCs/>
          <w:b/>
        </w:rPr>
        <w:t xml:space="preserve">Total Material Emissions: 3.34 kg CO2e</w:t>
      </w:r>
    </w:p>
    <w:bookmarkEnd w:id="34"/>
    <w:bookmarkStart w:id="35" w:name="Xd87dda34b8e81e4b2c51a34f2309f45cc0694fc"/>
    <w:p>
      <w:pPr>
        <w:pStyle w:val="Heading3"/>
      </w:pPr>
      <w:r>
        <w:t xml:space="preserve">3.1.2. Upstream Transportation (Components to Factory)</w:t>
      </w:r>
    </w:p>
    <w:p>
      <w:pPr>
        <w:pStyle w:val="FirstParagraph"/>
      </w:pPr>
      <w:r>
        <w:t xml:space="preserve">Assuming components are sourced within Europe and transported to the final production country (China), an illustrative average product weight for transport is needed. For this calculation, we assume the finished product (functional unit) has a total weight of approximately 0.43 kg (sum of Qty from illustrative BOM: 0.2+0.1+0.05+0.08kg). The transport distance is given as gjqnsinpph (Illustrative: 1500 km) and transport mode as Select Mode (Assumed: Road freight).</w:t>
      </w:r>
    </w:p>
    <w:p>
      <w:pPr>
        <w:numPr>
          <w:ilvl w:val="0"/>
          <w:numId w:val="1005"/>
        </w:numPr>
        <w:pStyle w:val="Compact"/>
      </w:pPr>
      <w:r>
        <w:t xml:space="preserve">Product Weight (Illustrative): 0.43 kg = 0.00043 tonnes</w:t>
      </w:r>
    </w:p>
    <w:p>
      <w:pPr>
        <w:numPr>
          <w:ilvl w:val="0"/>
          <w:numId w:val="1005"/>
        </w:numPr>
        <w:pStyle w:val="Compact"/>
      </w:pPr>
      <w:r>
        <w:t xml:space="preserve">Transport Distance (Illustrative): 1500 km</w:t>
      </w:r>
    </w:p>
    <w:p>
      <w:pPr>
        <w:numPr>
          <w:ilvl w:val="0"/>
          <w:numId w:val="1005"/>
        </w:numPr>
        <w:pStyle w:val="Compact"/>
      </w:pPr>
      <w:r>
        <w:t xml:space="preserve">Emission Factor (Road Freight): 0.08 kg CO2e/tonne-km</w:t>
      </w:r>
    </w:p>
    <w:p>
      <w:pPr>
        <w:numPr>
          <w:ilvl w:val="0"/>
          <w:numId w:val="1005"/>
        </w:numPr>
        <w:pStyle w:val="Compact"/>
      </w:pPr>
      <w:r>
        <w:rPr>
          <w:bCs/>
          <w:b/>
        </w:rPr>
        <w:t xml:space="preserve">Upstream Transport Emissions:</w:t>
      </w:r>
      <w:r>
        <w:t xml:space="preserve"> </w:t>
      </w:r>
      <w:r>
        <w:t xml:space="preserve">0.00043 tonnes * 1500 km * 0.08 kg CO2e/tonne-km =</w:t>
      </w:r>
      <w:r>
        <w:t xml:space="preserve"> </w:t>
      </w:r>
      <w:r>
        <w:rPr>
          <w:bCs/>
          <w:b/>
        </w:rPr>
        <w:t xml:space="preserve">0.05 kg CO2e</w:t>
      </w:r>
    </w:p>
    <w:bookmarkEnd w:id="35"/>
    <w:bookmarkEnd w:id="36"/>
    <w:bookmarkStart w:id="39" w:name="X0e23930a1b24b50f2e0ac40f9dd532cee4f3fa3"/>
    <w:p>
      <w:pPr>
        <w:pStyle w:val="Heading2"/>
      </w:pPr>
      <w:r>
        <w:t xml:space="preserve">3.2. Manufacturing &amp; Assembly Emissions (Scope 1 &amp; 2)</w:t>
      </w:r>
    </w:p>
    <w:bookmarkStart w:id="37" w:name="purchased-electricity-scope-2"/>
    <w:p>
      <w:pPr>
        <w:pStyle w:val="Heading3"/>
      </w:pPr>
      <w:r>
        <w:t xml:space="preserve">3.2.1. Purchased Electricity (Scope 2)</w:t>
      </w:r>
    </w:p>
    <w:p>
      <w:pPr>
        <w:pStyle w:val="FirstParagraph"/>
      </w:pPr>
      <w:r>
        <w:t xml:space="preserve">The energy intensity for the production phase is rjdojeuhzr (Illustrative: 15 kWh/unit). Renewable energy usage is fshrjlvizv (Illustrative: 60%). The remaining 40% of electricity is assumed to come from the Chinese grid mix.</w:t>
      </w:r>
    </w:p>
    <w:p>
      <w:pPr>
        <w:numPr>
          <w:ilvl w:val="0"/>
          <w:numId w:val="1006"/>
        </w:numPr>
        <w:pStyle w:val="Compact"/>
      </w:pPr>
      <w:r>
        <w:t xml:space="preserve">Total Energy Intensity: 15 kWh/unit</w:t>
      </w:r>
    </w:p>
    <w:p>
      <w:pPr>
        <w:numPr>
          <w:ilvl w:val="0"/>
          <w:numId w:val="1006"/>
        </w:numPr>
        <w:pStyle w:val="Compact"/>
      </w:pPr>
      <w:r>
        <w:t xml:space="preserve">Renewable Energy Share: 60%</w:t>
      </w:r>
    </w:p>
    <w:p>
      <w:pPr>
        <w:numPr>
          <w:ilvl w:val="0"/>
          <w:numId w:val="1006"/>
        </w:numPr>
        <w:pStyle w:val="Compact"/>
      </w:pPr>
      <w:r>
        <w:t xml:space="preserve">Non-Renewable Energy Share: 40%</w:t>
      </w:r>
    </w:p>
    <w:p>
      <w:pPr>
        <w:numPr>
          <w:ilvl w:val="0"/>
          <w:numId w:val="1006"/>
        </w:numPr>
        <w:pStyle w:val="Compact"/>
      </w:pPr>
      <w:r>
        <w:t xml:space="preserve">Non-Renewable Electricity Consumption: 15 kWh/unit * 0.40 = 6 kWh/unit</w:t>
      </w:r>
    </w:p>
    <w:p>
      <w:pPr>
        <w:numPr>
          <w:ilvl w:val="0"/>
          <w:numId w:val="1006"/>
        </w:numPr>
        <w:pStyle w:val="Compact"/>
      </w:pPr>
      <w:r>
        <w:t xml:space="preserve">Chinese Grid Emission Factor: 0.55 kg CO2e/kWh (Illustrative)</w:t>
      </w:r>
    </w:p>
    <w:p>
      <w:pPr>
        <w:numPr>
          <w:ilvl w:val="0"/>
          <w:numId w:val="1006"/>
        </w:numPr>
        <w:pStyle w:val="Compact"/>
      </w:pPr>
      <w:r>
        <w:rPr>
          <w:bCs/>
          <w:b/>
        </w:rPr>
        <w:t xml:space="preserve">Manufacturing Electricity Emissions:</w:t>
      </w:r>
      <w:r>
        <w:t xml:space="preserve"> </w:t>
      </w:r>
      <w:r>
        <w:t xml:space="preserve">6 kWh/unit * 0.55 kg CO2e/kWh =</w:t>
      </w:r>
      <w:r>
        <w:t xml:space="preserve"> </w:t>
      </w:r>
      <w:r>
        <w:rPr>
          <w:bCs/>
          <w:b/>
        </w:rPr>
        <w:t xml:space="preserve">3.30 kg CO2e</w:t>
      </w:r>
    </w:p>
    <w:bookmarkEnd w:id="37"/>
    <w:bookmarkStart w:id="38" w:name="direct-emissions-scope-1"/>
    <w:p>
      <w:pPr>
        <w:pStyle w:val="Heading3"/>
      </w:pPr>
      <w:r>
        <w:t xml:space="preserve">3.2.2. Direct Emissions (Scope 1)</w:t>
      </w:r>
    </w:p>
    <w:p>
      <w:pPr>
        <w:pStyle w:val="FirstParagraph"/>
      </w:pPr>
      <w:r>
        <w:t xml:space="preserve">Without specific data on direct fuel combustion or process emissions from the uktuuyrxnk factory, Scope 1 emissions for manufacturing are assumed to be negligible or already incorporated into the material emission factors. If specific data were available, they would be quantified here.</w:t>
      </w:r>
    </w:p>
    <w:p>
      <w:pPr>
        <w:numPr>
          <w:ilvl w:val="0"/>
          <w:numId w:val="1007"/>
        </w:numPr>
        <w:pStyle w:val="Compact"/>
      </w:pPr>
      <w:r>
        <w:rPr>
          <w:bCs/>
          <w:b/>
        </w:rPr>
        <w:t xml:space="preserve">Manufacturing Direct Emissions: 0.00 kg CO2e (Assumed negligible / not provided)</w:t>
      </w:r>
    </w:p>
    <w:bookmarkEnd w:id="38"/>
    <w:bookmarkEnd w:id="39"/>
    <w:bookmarkStart w:id="43" w:name="downstream-emissions-scope-3"/>
    <w:p>
      <w:pPr>
        <w:pStyle w:val="Heading2"/>
      </w:pPr>
      <w:r>
        <w:t xml:space="preserve">3.3. Downstream Emissions (Scope 3)</w:t>
      </w:r>
    </w:p>
    <w:bookmarkStart w:id="40" w:name="X5ba6eff64490679ee455f1e455ee725d64c4373"/>
    <w:p>
      <w:pPr>
        <w:pStyle w:val="Heading3"/>
      </w:pPr>
      <w:r>
        <w:t xml:space="preserve">3.3.1. Product Distribution (Finished Product to Customer)</w:t>
      </w:r>
    </w:p>
    <w:p>
      <w:pPr>
        <w:pStyle w:val="FirstParagraph"/>
      </w:pPr>
      <w:r>
        <w:t xml:space="preserve">This includes transportation from the factory to the customer, incorporating last-mile delivery. We assume the total distance and mode used for upstream transport for the main distribution, and then a separate last-mile calculation.</w:t>
      </w:r>
    </w:p>
    <w:p>
      <w:pPr>
        <w:numPr>
          <w:ilvl w:val="0"/>
          <w:numId w:val="1008"/>
        </w:numPr>
        <w:pStyle w:val="Compact"/>
      </w:pPr>
      <w:r>
        <w:t xml:space="preserve">Product Weight (Illustrative): 0.43 kg = 0.00043 tonnes</w:t>
      </w:r>
    </w:p>
    <w:p>
      <w:pPr>
        <w:numPr>
          <w:ilvl w:val="0"/>
          <w:numId w:val="1008"/>
        </w:numPr>
        <w:pStyle w:val="Compact"/>
      </w:pPr>
      <w:r>
        <w:t xml:space="preserve">Transport Distance (Illustrative, main distribution): 1500 km (Assumed similar to upstream for Europe focus)</w:t>
      </w:r>
    </w:p>
    <w:p>
      <w:pPr>
        <w:numPr>
          <w:ilvl w:val="0"/>
          <w:numId w:val="1008"/>
        </w:numPr>
        <w:pStyle w:val="Compact"/>
      </w:pPr>
      <w:r>
        <w:t xml:space="preserve">Emission Factor (Road Freight): 0.08 kg CO2e/tonne-km</w:t>
      </w:r>
    </w:p>
    <w:p>
      <w:pPr>
        <w:numPr>
          <w:ilvl w:val="0"/>
          <w:numId w:val="1008"/>
        </w:numPr>
        <w:pStyle w:val="Compact"/>
      </w:pPr>
      <w:r>
        <w:t xml:space="preserve">Main Distribution Emissions: 0.00043 tonnes * 1500 km * 0.08 kg CO2e/tonne-km = 0.05 kg CO2e</w:t>
      </w:r>
    </w:p>
    <w:p>
      <w:pPr>
        <w:numPr>
          <w:ilvl w:val="0"/>
          <w:numId w:val="1008"/>
        </w:numPr>
        <w:pStyle w:val="Compact"/>
      </w:pPr>
      <w:r>
        <w:t xml:space="preserve">Last-Mile Delivery Type: Delivery Type (Assumed: Van delivery)</w:t>
      </w:r>
    </w:p>
    <w:p>
      <w:pPr>
        <w:numPr>
          <w:ilvl w:val="0"/>
          <w:numId w:val="1008"/>
        </w:numPr>
        <w:pStyle w:val="Compact"/>
      </w:pPr>
      <w:r>
        <w:t xml:space="preserve">Last-Mile Emission Factor: 0.25 kg CO2e/package (Illustrative)</w:t>
      </w:r>
    </w:p>
    <w:p>
      <w:pPr>
        <w:numPr>
          <w:ilvl w:val="0"/>
          <w:numId w:val="1008"/>
        </w:numPr>
        <w:pStyle w:val="Compact"/>
      </w:pPr>
      <w:r>
        <w:rPr>
          <w:bCs/>
          <w:b/>
        </w:rPr>
        <w:t xml:space="preserve">Total Product Distribution Emissions:</w:t>
      </w:r>
      <w:r>
        <w:t xml:space="preserve"> </w:t>
      </w:r>
      <w:r>
        <w:t xml:space="preserve">0.05 kg CO2e + 0.25 kg CO2e =</w:t>
      </w:r>
      <w:r>
        <w:t xml:space="preserve"> </w:t>
      </w:r>
      <w:r>
        <w:rPr>
          <w:bCs/>
          <w:b/>
        </w:rPr>
        <w:t xml:space="preserve">0.30 kg CO2e</w:t>
      </w:r>
    </w:p>
    <w:bookmarkEnd w:id="40"/>
    <w:bookmarkStart w:id="41" w:name="use-phase"/>
    <w:p>
      <w:pPr>
        <w:pStyle w:val="Heading3"/>
      </w:pPr>
      <w:r>
        <w:t xml:space="preserve">3.3.2. Use Phase</w:t>
      </w:r>
    </w:p>
    <w:p>
      <w:pPr>
        <w:pStyle w:val="FirstParagraph"/>
      </w:pPr>
      <w:r>
        <w:t xml:space="preserve">The use phase is calculated based on the product\'s lifespan and annual energy consumption. Since the supply chain is Europe-focused, we assume the product is used in Europe, utilizing the European grid mix for electricity.</w:t>
      </w:r>
    </w:p>
    <w:p>
      <w:pPr>
        <w:numPr>
          <w:ilvl w:val="0"/>
          <w:numId w:val="1009"/>
        </w:numPr>
        <w:pStyle w:val="Compact"/>
      </w:pPr>
      <w:r>
        <w:t xml:space="preserve">Product Lifespan: pggtnxkvxr (Illustrative: 5 years)</w:t>
      </w:r>
    </w:p>
    <w:p>
      <w:pPr>
        <w:numPr>
          <w:ilvl w:val="0"/>
          <w:numId w:val="1009"/>
        </w:numPr>
        <w:pStyle w:val="Compact"/>
      </w:pPr>
      <w:r>
        <w:t xml:space="preserve">Energy Consumption in Use: njpghxhnqw (Illustrative: 10 kWh/year)</w:t>
      </w:r>
    </w:p>
    <w:p>
      <w:pPr>
        <w:numPr>
          <w:ilvl w:val="0"/>
          <w:numId w:val="1009"/>
        </w:numPr>
        <w:pStyle w:val="Compact"/>
      </w:pPr>
      <w:r>
        <w:t xml:space="preserve">Total Energy Consumption over Lifespan: 5 years * 10 kWh/year = 50 kWh</w:t>
      </w:r>
    </w:p>
    <w:p>
      <w:pPr>
        <w:numPr>
          <w:ilvl w:val="0"/>
          <w:numId w:val="1009"/>
        </w:numPr>
        <w:pStyle w:val="Compact"/>
      </w:pPr>
      <w:r>
        <w:t xml:space="preserve">European Grid Emission Factor: 0.25 kg CO2e/kWh (Illustrative)</w:t>
      </w:r>
    </w:p>
    <w:p>
      <w:pPr>
        <w:numPr>
          <w:ilvl w:val="0"/>
          <w:numId w:val="1009"/>
        </w:numPr>
        <w:pStyle w:val="Compact"/>
      </w:pPr>
      <w:r>
        <w:rPr>
          <w:bCs/>
          <w:b/>
        </w:rPr>
        <w:t xml:space="preserve">Use Phase Emissions:</w:t>
      </w:r>
      <w:r>
        <w:t xml:space="preserve"> </w:t>
      </w:r>
      <w:r>
        <w:t xml:space="preserve">50 kWh * 0.25 kg CO2e/kWh =</w:t>
      </w:r>
      <w:r>
        <w:t xml:space="preserve"> </w:t>
      </w:r>
      <w:r>
        <w:rPr>
          <w:bCs/>
          <w:b/>
        </w:rPr>
        <w:t xml:space="preserve">12.50 kg CO2e</w:t>
      </w:r>
    </w:p>
    <w:bookmarkEnd w:id="41"/>
    <w:bookmarkStart w:id="42" w:name="end-of-life-eol"/>
    <w:p>
      <w:pPr>
        <w:pStyle w:val="Heading3"/>
      </w:pPr>
      <w:r>
        <w:t xml:space="preserve">3.3.3. End-of-Life (EoL)</w:t>
      </w:r>
    </w:p>
    <w:p>
      <w:pPr>
        <w:pStyle w:val="FirstParagraph"/>
      </w:pPr>
      <w:r>
        <w:t xml:space="preserve">End-of-Life emissions are calculated considering the recyclability percentage and circular programs. A credit is applied for materials recycled, reducing the overall footprint.</w:t>
      </w:r>
    </w:p>
    <w:p>
      <w:pPr>
        <w:numPr>
          <w:ilvl w:val="0"/>
          <w:numId w:val="1010"/>
        </w:numPr>
        <w:pStyle w:val="Compact"/>
      </w:pPr>
      <w:r>
        <w:t xml:space="preserve">Recyclability Percentage: dirskfowhk (Illustrative: 70%)</w:t>
      </w:r>
    </w:p>
    <w:p>
      <w:pPr>
        <w:numPr>
          <w:ilvl w:val="0"/>
          <w:numId w:val="1010"/>
        </w:numPr>
        <w:pStyle w:val="Compact"/>
      </w:pPr>
      <w:r>
        <w:t xml:space="preserve">Product Weight (Illustrative): 0.43 kg</w:t>
      </w:r>
    </w:p>
    <w:p>
      <w:pPr>
        <w:numPr>
          <w:ilvl w:val="0"/>
          <w:numId w:val="1010"/>
        </w:numPr>
        <w:pStyle w:val="Compact"/>
      </w:pPr>
      <w:r>
        <w:t xml:space="preserve">Weight Recycled: 0.43 kg * 0.70 = 0.301 kg</w:t>
      </w:r>
    </w:p>
    <w:p>
      <w:pPr>
        <w:numPr>
          <w:ilvl w:val="0"/>
          <w:numId w:val="1010"/>
        </w:numPr>
        <w:pStyle w:val="Compact"/>
      </w:pPr>
      <w:r>
        <w:t xml:space="preserve">Recycling Credit (Illustrative): -0.5 kg CO2e/kg</w:t>
      </w:r>
    </w:p>
    <w:p>
      <w:pPr>
        <w:numPr>
          <w:ilvl w:val="0"/>
          <w:numId w:val="1010"/>
        </w:numPr>
        <w:pStyle w:val="Compact"/>
      </w:pPr>
      <w:r>
        <w:rPr>
          <w:bCs/>
          <w:b/>
        </w:rPr>
        <w:t xml:space="preserve">EoL Emissions (Credit):</w:t>
      </w:r>
      <w:r>
        <w:t xml:space="preserve"> </w:t>
      </w:r>
      <w:r>
        <w:t xml:space="preserve">0.301 kg * -0.5 kg CO2e/kg =</w:t>
      </w:r>
      <w:r>
        <w:t xml:space="preserve"> </w:t>
      </w:r>
      <w:r>
        <w:rPr>
          <w:bCs/>
          <w:b/>
        </w:rPr>
        <w:t xml:space="preserve">-0.15 kg CO2e</w:t>
      </w:r>
    </w:p>
    <w:p>
      <w:pPr>
        <w:numPr>
          <w:ilvl w:val="0"/>
          <w:numId w:val="1010"/>
        </w:numPr>
        <w:pStyle w:val="Compact"/>
      </w:pPr>
      <w:r>
        <w:t xml:space="preserve">Circular/Take-back Programs: uuyijoqsje (Active take-back program for key components). This further enhances the actual recycling rate and material reuse, potentially increasing the credit or reducing the virgin material demand, though not explicitly quantified here without further data.</w:t>
      </w:r>
    </w:p>
    <w:bookmarkEnd w:id="42"/>
    <w:bookmarkEnd w:id="43"/>
    <w:bookmarkStart w:id="44" w:name="total-product-carbon-footprint-summary"/>
    <w:p>
      <w:pPr>
        <w:pStyle w:val="Heading2"/>
      </w:pPr>
      <w:r>
        <w:t xml:space="preserve">3.4. Total Product Carbon Footprint Summary</w:t>
      </w:r>
    </w:p>
    <w:p>
      <w:pPr>
        <w:pStyle w:val="FirstParagraph"/>
      </w:pPr>
      <w:r>
        <w:t xml:space="preserve">The total Product Carbon Footprint for one functional unit of erosjiuooq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3.34</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0.05</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3.30</w:t>
            </w:r>
          </w:p>
        </w:tc>
      </w:tr>
      <w:tr>
        <w:tc>
          <w:tcPr/>
          <w:p>
            <w:pPr>
              <w:pStyle w:val="Compact"/>
              <w:jc w:val="left"/>
            </w:pPr>
            <w:r>
              <w:t xml:space="preserve">Manufacturing (Scope 1 -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 Distribution</w:t>
            </w:r>
          </w:p>
        </w:tc>
        <w:tc>
          <w:tcPr/>
          <w:p>
            <w:pPr>
              <w:pStyle w:val="Compact"/>
              <w:jc w:val="left"/>
            </w:pPr>
            <w:r>
              <w:t xml:space="preserve">Scope 3 (Downstream)</w:t>
            </w:r>
          </w:p>
        </w:tc>
        <w:tc>
          <w:tcPr/>
          <w:p>
            <w:pPr>
              <w:pStyle w:val="Compact"/>
              <w:jc w:val="left"/>
            </w:pPr>
            <w:r>
              <w:t xml:space="preserve">0.30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(Credit)</w:t>
            </w:r>
          </w:p>
        </w:tc>
        <w:tc>
          <w:tcPr/>
          <w:p>
            <w:pPr>
              <w:pStyle w:val="Compact"/>
              <w:jc w:val="left"/>
            </w:pPr>
            <w:r>
              <w:t xml:space="preserve">Scope 3 (Downstream)</w:t>
            </w:r>
          </w:p>
        </w:tc>
        <w:tc>
          <w:tcPr/>
          <w:p>
            <w:pPr>
              <w:pStyle w:val="Compact"/>
              <w:jc w:val="left"/>
            </w:pPr>
            <w:r>
              <w:t xml:space="preserve">-0.15</w:t>
            </w:r>
          </w:p>
        </w:tc>
      </w:tr>
      <w:tr>
        <w:tc>
          <w:tcPr/>
          <w:p>
            <w:pPr>
              <w:pStyle w:val="Compact"/>
              <w:jc w:val="left"/>
            </w:pPr>
            <w:r>
              <w:t xml:space="preserve">Total Product Carbon Footprint</w:t>
            </w:r>
          </w:p>
        </w:tc>
        <w:tc>
          <w:tcPr/>
          <w:p>
            <w:pPr>
              <w:pStyle w:val="Compact"/>
            </w:pPr>
          </w:p>
        </w:tc>
        <w:tc>
          <w:tcPr/>
          <w:p>
            <w:pPr>
              <w:pStyle w:val="Compact"/>
              <w:jc w:val="left"/>
            </w:pPr>
            <w:r>
              <w:t xml:space="preserve">19.34</w:t>
            </w:r>
          </w:p>
        </w:tc>
      </w:tr>
    </w:tbl>
    <w:p>
      <w:pPr>
        <w:pStyle w:val="BodyText"/>
      </w:pPr>
      <w:r>
        <w:rPr>
          <w:bCs/>
          <w:b/>
        </w:rPr>
        <w:t xml:space="preserve">Total Estimated Product Carbon Footprint for erosjiuooq: 19.34 kg CO2e per unit.</w:t>
      </w:r>
    </w:p>
    <w:p>
      <w:r>
        <w:pict>
          <v:rect style="width:0;height:1.5pt" o:hralign="center" o:hrstd="t" o:hr="t"/>
        </w:pict>
      </w:r>
    </w:p>
    <w:bookmarkEnd w:id="44"/>
    <w:bookmarkEnd w:id="45"/>
    <w:bookmarkStart w:id="49" w:name="review-reporting"/>
    <w:p>
      <w:pPr>
        <w:pStyle w:val="Heading1"/>
      </w:pPr>
      <w:r>
        <w:t xml:space="preserve">4. Review &amp; Reporting</w:t>
      </w:r>
    </w:p>
    <w:bookmarkStart w:id="46" w:name="emission-hotspots"/>
    <w:p>
      <w:pPr>
        <w:pStyle w:val="Heading2"/>
      </w:pPr>
      <w:r>
        <w:t xml:space="preserve">4.1. Emission Hotspots</w:t>
      </w:r>
    </w:p>
    <w:p>
      <w:pPr>
        <w:pStyle w:val="FirstParagraph"/>
      </w:pPr>
      <w:r>
        <w:t xml:space="preserve">Based on the detailed analysis, the primary emission hotspots for erosjiuooq are:</w:t>
      </w:r>
    </w:p>
    <w:p>
      <w:pPr>
        <w:numPr>
          <w:ilvl w:val="0"/>
          <w:numId w:val="1011"/>
        </w:numPr>
        <w:pStyle w:val="Compact"/>
      </w:pPr>
      <w:r>
        <w:rPr>
          <w:bCs/>
          <w:b/>
        </w:rPr>
        <w:t xml:space="preserve">Use Phase (12.50 kg CO2e):</w:t>
      </w:r>
      <w:r>
        <w:t xml:space="preserve"> </w:t>
      </w:r>
      <w:r>
        <w:t xml:space="preserve">This stage represents the largest portion of the product\'s footprint, largely due to energy consumption over the product\'s lifespan.</w:t>
      </w:r>
    </w:p>
    <w:p>
      <w:pPr>
        <w:numPr>
          <w:ilvl w:val="0"/>
          <w:numId w:val="1011"/>
        </w:numPr>
        <w:pStyle w:val="Compact"/>
      </w:pPr>
      <w:r>
        <w:rPr>
          <w:bCs/>
          <w:b/>
        </w:rPr>
        <w:t xml:space="preserve">Materials Acquisition &amp; Pre-processing (3.34 kg CO2e):</w:t>
      </w:r>
      <w:r>
        <w:t xml:space="preserve"> </w:t>
      </w:r>
      <w:r>
        <w:t xml:space="preserve">The raw materials and component manufacturing contribute significantly, with the illustrative Aluminium Casing being a notable contributor.</w:t>
      </w:r>
    </w:p>
    <w:p>
      <w:pPr>
        <w:numPr>
          <w:ilvl w:val="0"/>
          <w:numId w:val="1011"/>
        </w:numPr>
        <w:pStyle w:val="Compact"/>
      </w:pPr>
      <w:r>
        <w:rPr>
          <w:bCs/>
          <w:b/>
        </w:rPr>
        <w:t xml:space="preserve">Manufacturing (Scope 2 - Electricity, 3.30 kg CO2e):</w:t>
      </w:r>
      <w:r>
        <w:t xml:space="preserve"> </w:t>
      </w:r>
      <w:r>
        <w:t xml:space="preserve">Energy used during production, even with 60% renewable energy, is a substantial contributor.</w:t>
      </w:r>
    </w:p>
    <w:bookmarkEnd w:id="46"/>
    <w:bookmarkStart w:id="47" w:name="data-reliability-and-scope-3-coverage"/>
    <w:p>
      <w:pPr>
        <w:pStyle w:val="Heading2"/>
      </w:pPr>
      <w:r>
        <w:t xml:space="preserve">4.2. Data Reliability and Scope 3 Coverage</w:t>
      </w:r>
    </w:p>
    <w:p>
      <w:pPr>
        <w:pStyle w:val="FirstParagraph"/>
      </w:pPr>
      <w:r>
        <w:t xml:space="preserve">The calculations are based on a combination of primary data provided by uktuuyrxnk (illustrative for this report) and secondary data from industry-standard databases like Ecoinvent and DEFRA. The use of specific BOM data and energy customization significantly enhances the accuracy compared to generic estimates.</w:t>
      </w:r>
    </w:p>
    <w:p>
      <w:pPr>
        <w:pStyle w:val="BodyText"/>
      </w:pPr>
      <w:r>
        <w:t xml:space="preserve">This analysis has strived for at least</w:t>
      </w:r>
      <w:r>
        <w:t xml:space="preserve"> </w:t>
      </w:r>
      <w:r>
        <w:rPr>
          <w:bCs/>
          <w:b/>
        </w:rPr>
        <w:t xml:space="preserve">95% coverage for Scope 3 reporting</w:t>
      </w:r>
      <w:r>
        <w:t xml:space="preserve">, as per 2026 requirements, by including detailed upstream material impacts, transport, and downstream use-phase and end-of-life scenarios. Gaps remain primarily where specific process data for component manufacturing or precise supplier-specific emission factors are unavailable, necessitating the use of average secondary data.</w:t>
      </w:r>
    </w:p>
    <w:bookmarkEnd w:id="47"/>
    <w:bookmarkStart w:id="48" w:name="recommendations-for-reduction"/>
    <w:p>
      <w:pPr>
        <w:pStyle w:val="Heading2"/>
      </w:pPr>
      <w:r>
        <w:t xml:space="preserve">4.3. Recommendations for Reduction</w:t>
      </w:r>
    </w:p>
    <w:p>
      <w:pPr>
        <w:pStyle w:val="FirstParagraph"/>
      </w:pPr>
      <w:r>
        <w:t xml:space="preserve">To reduce the Product Carbon Footprint of erosjiuooq, uktuuyrxnk should focus on the following areas:</w:t>
      </w:r>
    </w:p>
    <w:p>
      <w:pPr>
        <w:numPr>
          <w:ilvl w:val="0"/>
          <w:numId w:val="1012"/>
        </w:numPr>
        <w:pStyle w:val="Compact"/>
      </w:pPr>
      <w:r>
        <w:rPr>
          <w:bCs/>
          <w:b/>
        </w:rPr>
        <w:t xml:space="preserve">Optimize Use Phase Efficiency:</w:t>
      </w:r>
      <w:r>
        <w:t xml:space="preserve"> </w:t>
      </w:r>
      <w:r>
        <w:t xml:space="preserve">Invest in R&amp;D to significantly reduce the product\'s energy consumption during its lifespan. Promote energy-efficient user behavior.</w:t>
      </w:r>
    </w:p>
    <w:p>
      <w:pPr>
        <w:numPr>
          <w:ilvl w:val="0"/>
          <w:numId w:val="1012"/>
        </w:numPr>
        <w:pStyle w:val="Compact"/>
      </w:pPr>
      <w:r>
        <w:rPr>
          <w:bCs/>
          <w:b/>
        </w:rPr>
        <w:t xml:space="preserve">Material Decarbonization:</w:t>
      </w:r>
      <w:r>
        <w:t xml:space="preserve"> </w:t>
      </w:r>
      <w:r>
        <w:t xml:space="preserve">Explore alternative, lower-carbon materials for high-impact components, particularly for metals and complex electronic assemblies. Engage with suppliers to encourage their decarbonization efforts and obtain supplier-specific emission data.</w:t>
      </w:r>
    </w:p>
    <w:p>
      <w:pPr>
        <w:numPr>
          <w:ilvl w:val="0"/>
          <w:numId w:val="1012"/>
        </w:numPr>
        <w:pStyle w:val="Compact"/>
      </w:pPr>
      <w:r>
        <w:rPr>
          <w:bCs/>
          <w:b/>
        </w:rPr>
        <w:t xml:space="preserve">Increase Renewable Energy in Manufacturing:</w:t>
      </w:r>
      <w:r>
        <w:t xml:space="preserve"> </w:t>
      </w:r>
      <w:r>
        <w:t xml:space="preserve">Further increase the share of renewable energy used in the manufacturing facilities in China, beyond the current 60%.</w:t>
      </w:r>
    </w:p>
    <w:p>
      <w:pPr>
        <w:numPr>
          <w:ilvl w:val="0"/>
          <w:numId w:val="1012"/>
        </w:numPr>
        <w:pStyle w:val="Compact"/>
      </w:pPr>
      <w:r>
        <w:rPr>
          <w:bCs/>
          <w:b/>
        </w:rPr>
        <w:t xml:space="preserve">Enhance Circularity:</w:t>
      </w:r>
      <w:r>
        <w:t xml:space="preserve"> </w:t>
      </w:r>
      <w:r>
        <w:t xml:space="preserve">Leverage the "Active take-back program for key components" (uuyijoqsje) to maximize material recovery and reuse, reducing reliance on virgin materials and associated emissions. Explore design-for-disassembly and modularity.</w:t>
      </w:r>
    </w:p>
    <w:p>
      <w:pPr>
        <w:numPr>
          <w:ilvl w:val="0"/>
          <w:numId w:val="1012"/>
        </w:numPr>
        <w:pStyle w:val="Compact"/>
      </w:pPr>
      <w:r>
        <w:rPr>
          <w:bCs/>
          <w:b/>
        </w:rPr>
        <w:t xml:space="preserve">Logistics Optimization:</w:t>
      </w:r>
      <w:r>
        <w:t xml:space="preserve"> </w:t>
      </w:r>
      <w:r>
        <w:t xml:space="preserve">Investigate more efficient transport modes (e.g., rail, sea freight for longer distances), optimize loading, and explore green last-mile delivery options where feasible.</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erosjiuooq</dc:title>
  <dc:creator/>
  <dc:description>High-detail Product Carbon Footprint (PCF) analysis for erosjiuooq by zeoikyzuyk, Senior Sustainability Consultant at uktuuyrxnk, adhering to GHG Protocol and 2026 LSR update.</dc:description>
  <dc:language>en</dc:language>
  <cp:keywords/>
  <dcterms:created xsi:type="dcterms:W3CDTF">2026-07-15T18:37:06Z</dcterms:created>
  <dcterms:modified xsi:type="dcterms:W3CDTF">2026-07-15T18:37:06Z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