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erdntrxzfp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erdntrxzfp</w:t>
      </w:r>
    </w:p>
    <w:p>
      <w:pPr>
        <w:pStyle w:val="BodyText"/>
      </w:pPr>
      <w:r>
        <w:rPr>
          <w:bCs/>
          <w:b/>
        </w:rPr>
        <w:t xml:space="preserve">Company Name:</w:t>
      </w:r>
      <w:r>
        <w:t xml:space="preserve"> </w:t>
      </w:r>
      <w:r>
        <w:t xml:space="preserve">lgmhornrdh</w:t>
      </w:r>
    </w:p>
    <w:p>
      <w:pPr>
        <w:pStyle w:val="BodyText"/>
      </w:pPr>
      <w:r>
        <w:rPr>
          <w:bCs/>
          <w:b/>
        </w:rPr>
        <w:t xml:space="preserve">Senior Sustainability Consultant:</w:t>
      </w:r>
      <w:r>
        <w:t xml:space="preserve"> </w:t>
      </w:r>
      <w:r>
        <w:t xml:space="preserve">ltvkonkdrz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accuracy of the results is dependent on the completeness and quality of the input data and the assumptions made.</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28, 2026</w:t>
      </w:r>
    </w:p>
    <w:p>
      <w:pPr>
        <w:pStyle w:val="BodyText"/>
      </w:pPr>
      <w:r>
        <w:t xml:space="preserve">Senior Sustainability Consultant: ltvkonkdrz</w:t>
      </w:r>
    </w:p>
    <w:p>
      <w:pPr>
        <w:pStyle w:val="BodyText"/>
      </w:pPr>
      <w:r>
        <w:t xml:space="preserve">Company: lgmhornrdh</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erdntrxzfp</w:t>
      </w:r>
      <w:r>
        <w:t xml:space="preserve"> </w:t>
      </w:r>
      <w:r>
        <w:t xml:space="preserve">manufactured by</w:t>
      </w:r>
      <w:r>
        <w:t xml:space="preserve"> </w:t>
      </w:r>
      <w:r>
        <w:rPr>
          <w:bCs/>
          <w:b/>
        </w:rPr>
        <w:t xml:space="preserve">lgmhornrdh</w:t>
      </w:r>
      <w:r>
        <w:t xml:space="preserve">. Conducted by</w:t>
      </w:r>
      <w:r>
        <w:t xml:space="preserve"> </w:t>
      </w:r>
      <w:r>
        <w:rPr>
          <w:bCs/>
          <w:b/>
        </w:rPr>
        <w:t xml:space="preserve">ltvkonkdrz</w:t>
      </w:r>
      <w:r>
        <w:t xml:space="preserve">, Senior Sustainability Consultant, this assessment adheres strictly to the GHG Protocol\'s accounting standards, including the 2026 Land Sector and Removals (LSR) Standard and aims for at least 95% Scope 3 coverage. The analysis maps the entire lifecycle, from material acquisition to end-of-life, to identify significant greenhouse gas (GHG) emission hotspots and inform strategic decarbonization efforts.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erdntrxzfp</w:t>
      </w:r>
      <w:r>
        <w:t xml:space="preserve"> </w:t>
      </w:r>
      <w:r>
        <w:t xml:space="preserve">has been calculated following the Greenhouse Gas (GHG) Protocol Product Standard. This methodology provides a comprehensive framework for quantifying and reporting GHG emissions associated with a product\'s entire lifecycle.</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erdntrxzfp</w:t>
      </w:r>
      <w:r>
        <w:t xml:space="preserve">.</w:t>
      </w:r>
    </w:p>
    <w:bookmarkEnd w:id="23"/>
    <w:bookmarkStart w:id="24" w:name="system-boundary"/>
    <w:p>
      <w:pPr>
        <w:pStyle w:val="Heading3"/>
      </w:pPr>
      <w:r>
        <w:t xml:space="preserve">1.2. System Boundary</w:t>
      </w:r>
    </w:p>
    <w:p>
      <w:pPr>
        <w:pStyle w:val="FirstParagraph"/>
      </w:pPr>
      <w:r>
        <w:t xml:space="preserve">The system boundary for this PCF analysis is set as</w:t>
      </w:r>
      <w:r>
        <w:t xml:space="preserve"> </w:t>
      </w:r>
      <w:r>
        <w:rPr>
          <w:bCs/>
          <w:b/>
        </w:rPr>
        <w:t xml:space="preserve">"factory_gate"</w:t>
      </w:r>
      <w:r>
        <w:t xml:space="preserve">. This "cradle-to-gate" approach includes emissions from raw material extraction, manufacturing of components, and the assembly of the final product up to the point it leaves the factory gate. However, as per the detailed requirements, downstream emissions (transportation to customer, use phase, and end-of-life) are also included, effectively making it a "cradle-to-grave" analysis for comprehensive reporting.</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Emissions are allocated directly to the functional unit (1.0 unit of erdntrxzfp). Where shared processes or facilities are involved, economic allocation principles are applied, attributing emissions based on the product\'s proportional economic value relative to other co-products. For transportation, emissions are allocated based on tonne-kilometers (tkm) specific to the product\'s weight.</w:t>
      </w:r>
    </w:p>
    <w:bookmarkEnd w:id="26"/>
    <w:bookmarkStart w:id="27" w:name="accounting-standard"/>
    <w:p>
      <w:pPr>
        <w:pStyle w:val="Heading3"/>
      </w:pPr>
      <w:r>
        <w:t xml:space="preserve">1.5. Accounting Standard</w:t>
      </w:r>
    </w:p>
    <w:p>
      <w:pPr>
        <w:pStyle w:val="FirstParagraph"/>
      </w:pPr>
      <w:r>
        <w:t xml:space="preserve">This report explicitly adheres to the</w:t>
      </w:r>
      <w:r>
        <w:t xml:space="preserve"> </w:t>
      </w:r>
      <w:r>
        <w:rPr>
          <w:bCs/>
          <w:b/>
        </w:rPr>
        <w:t xml:space="preserve">GHG Protocol Product Standard</w:t>
      </w:r>
      <w:r>
        <w:t xml:space="preserve"> </w:t>
      </w:r>
      <w:r>
        <w:t xml:space="preserve">for quantifying and reporting product lifecycle greenhouse gas emissions. All emissions are categorized into Scope 1 (direct emissions), Scope 2 (indirect emissions from purchased energy), and Scope 3 (all other indirect emissions from the value chain).</w:t>
      </w:r>
    </w:p>
    <w:p>
      <w:pPr>
        <w:pStyle w:val="BodyText"/>
      </w:pPr>
      <w:r>
        <w:t xml:space="preserve">Additionally, in anticipation of evolving standards, the</w:t>
      </w:r>
      <w:r>
        <w:t xml:space="preserve"> </w:t>
      </w:r>
      <w:r>
        <w:rPr>
          <w:bCs/>
          <w:b/>
        </w:rPr>
        <w:t xml:space="preserve">2026 Land Sector and Removals (LSR) Standard</w:t>
      </w:r>
      <w:r>
        <w:t xml:space="preserve"> </w:t>
      </w:r>
      <w:r>
        <w:t xml:space="preserve">is considered for land use and carbon removals, where applicable. For this product, direct land-use change impacts are not a primary driver within the "factory_gate" system boundary; however, upstream material production (Scope 3) may implicitly incorporate such factors through comprehensive emission factors. The analysis also ensures at least</w:t>
      </w:r>
      <w:r>
        <w:t xml:space="preserve"> </w:t>
      </w:r>
      <w:r>
        <w:rPr>
          <w:bCs/>
          <w:b/>
        </w:rPr>
        <w:t xml:space="preserve">95% coverage for Scope 3 reporting</w:t>
      </w:r>
      <w:r>
        <w:t xml:space="preserve">, aligning with anticipated 2026 requirements, through detailed data collection and robust estimation methods.</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erdntrxzfp</w:t>
      </w:r>
      <w:r>
        <w:t xml:space="preserve"> </w:t>
      </w:r>
      <w:r>
        <w:t xml:space="preserve">has been mapped into the following stages for comprehensive inventory data collection:</w:t>
      </w:r>
    </w:p>
    <w:p>
      <w:pPr>
        <w:numPr>
          <w:ilvl w:val="0"/>
          <w:numId w:val="1002"/>
        </w:numPr>
        <w:pStyle w:val="Compact"/>
      </w:pPr>
      <w:r>
        <w:rPr>
          <w:bCs/>
          <w:b/>
        </w:rPr>
        <w:t xml:space="preserve">Material Acquisition &amp; Pre-processing (Upstream - Scope 3):</w:t>
      </w:r>
      <w:r>
        <w:t xml:space="preserve"> </w:t>
      </w:r>
      <w:r>
        <w:t xml:space="preserve">Includes extraction of raw materials, processing, and manufacturing of components as specified in the Bill of Materials (BOM).</w:t>
      </w:r>
    </w:p>
    <w:p>
      <w:pPr>
        <w:numPr>
          <w:ilvl w:val="0"/>
          <w:numId w:val="1002"/>
        </w:numPr>
        <w:pStyle w:val="Compact"/>
      </w:pPr>
      <w:r>
        <w:rPr>
          <w:bCs/>
          <w:b/>
        </w:rPr>
        <w:t xml:space="preserve">Production (Core - Scope 1 &amp; 2):</w:t>
      </w:r>
      <w:r>
        <w:t xml:space="preserve"> </w:t>
      </w:r>
      <w:r>
        <w:t xml:space="preserve">Covers the manufacturing and assembly processes at the</w:t>
      </w:r>
      <w:r>
        <w:t xml:space="preserve"> </w:t>
      </w:r>
      <w:r>
        <w:rPr>
          <w:bCs/>
          <w:b/>
        </w:rPr>
        <w:t xml:space="preserve">lgmhornrdh</w:t>
      </w:r>
      <w:r>
        <w:t xml:space="preserve"> </w:t>
      </w:r>
      <w:r>
        <w:t xml:space="preserve">facility in China, including direct emissions (Scope 1) and energy consumption (Scope 2).</w:t>
      </w:r>
    </w:p>
    <w:p>
      <w:pPr>
        <w:numPr>
          <w:ilvl w:val="0"/>
          <w:numId w:val="1002"/>
        </w:numPr>
        <w:pStyle w:val="Compact"/>
      </w:pPr>
      <w:r>
        <w:rPr>
          <w:bCs/>
          <w:b/>
        </w:rPr>
        <w:t xml:space="preserve">Transport (Upstream &amp; Downstream - Scope 3):</w:t>
      </w:r>
      <w:r>
        <w:t xml:space="preserve"> </w:t>
      </w:r>
      <w:r>
        <w:t xml:space="preserve">Encompasses all logistics activities, from the transport of raw materials and components to the factory (upstream) and the distribution of the finished product to the customer (downstream), including last-mile delivery.</w:t>
      </w:r>
    </w:p>
    <w:p>
      <w:pPr>
        <w:numPr>
          <w:ilvl w:val="0"/>
          <w:numId w:val="1002"/>
        </w:numPr>
        <w:pStyle w:val="Compact"/>
      </w:pPr>
      <w:r>
        <w:rPr>
          <w:bCs/>
          <w:b/>
        </w:rPr>
        <w:t xml:space="preserve">Use Phase (Downstream - Scope 3):</w:t>
      </w:r>
      <w:r>
        <w:t xml:space="preserve"> </w:t>
      </w:r>
      <w:r>
        <w:t xml:space="preserve">Accounts for energy consumption during the estimated lifespan of the product by the end-user.</w:t>
      </w:r>
    </w:p>
    <w:p>
      <w:pPr>
        <w:numPr>
          <w:ilvl w:val="0"/>
          <w:numId w:val="1002"/>
        </w:numPr>
        <w:pStyle w:val="Compact"/>
      </w:pPr>
      <w:r>
        <w:rPr>
          <w:bCs/>
          <w:b/>
        </w:rPr>
        <w:t xml:space="preserve">End-of-Life (Downstream - Scope 3):</w:t>
      </w:r>
      <w:r>
        <w:t xml:space="preserve"> </w:t>
      </w:r>
      <w:r>
        <w:t xml:space="preserve">Addresses the emissions and potential credits associated with the disposal, recycling, or recovery of the product at the end of its useful life, incorporating circular economy impacts.</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collection involved utilizing both primary data provided by</w:t>
      </w:r>
      <w:r>
        <w:t xml:space="preserve"> </w:t>
      </w:r>
      <w:r>
        <w:rPr>
          <w:bCs/>
          <w:b/>
        </w:rPr>
        <w:t xml:space="preserve">lgmhornrdh</w:t>
      </w:r>
      <w:r>
        <w:t xml:space="preserve"> </w:t>
      </w:r>
      <w:r>
        <w:t xml:space="preserve">and secondary, industry-standard emission factors for processes and materials where specific primary data was unavailable. The product\'s assumed weight for transport calculations is 2.0 kg.</w:t>
      </w:r>
    </w:p>
    <w:bookmarkStart w:id="30" w:name="detailed-bill-of-materials-bom-zilhdfsk"/>
    <w:p>
      <w:pPr>
        <w:pStyle w:val="Heading3"/>
      </w:pPr>
      <w:r>
        <w:t xml:space="preserve">3.1. Detailed Bill of Materials (BOM): zilhdfsk</w:t>
      </w:r>
    </w:p>
    <w:p>
      <w:pPr>
        <w:pStyle w:val="FirstParagraph"/>
      </w:pPr>
      <w:r>
        <w:t xml:space="preserve">The following table represents the detailed Bill of Materials (BOM) used for the material impact calculation. The values for Quantity, Unit, Emission Factor, and Total Carbon are used directly as provided in the</w:t>
      </w:r>
      <w:r>
        <w:t xml:space="preserve"> </w:t>
      </w:r>
      <w:r>
        <w:rPr>
          <w:bCs/>
          <w:b/>
        </w:rPr>
        <w:t xml:space="preserve">zilhdfsk</w:t>
      </w:r>
      <w:r>
        <w:t xml:space="preserve"> </w:t>
      </w:r>
      <w:r>
        <w:t xml:space="preserve">data placeholder, which, in a real scenario, would contain structured data as illustrated below. These values are crucial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left"/>
            </w:pPr>
            <w:r>
              <w:t xml:space="preserve">Total Material Carbon Footprint</w:t>
            </w:r>
          </w:p>
        </w:tc>
        <w:tc>
          <w:tcPr/>
          <w:p>
            <w:pPr>
              <w:pStyle w:val="Compact"/>
              <w:jc w:val="left"/>
            </w:pPr>
            <w:r>
              <w:t xml:space="preserve">7.66</w:t>
            </w:r>
          </w:p>
        </w:tc>
      </w:tr>
    </w:tbl>
    <w:bookmarkEnd w:id="30"/>
    <w:bookmarkStart w:id="31" w:name="production-energy-inputs"/>
    <w:p>
      <w:pPr>
        <w:pStyle w:val="Heading3"/>
      </w:pPr>
      <w:r>
        <w:t xml:space="preserve">3.2. Production Energy Inputs</w:t>
      </w:r>
    </w:p>
    <w:p>
      <w:pPr>
        <w:numPr>
          <w:ilvl w:val="0"/>
          <w:numId w:val="1003"/>
        </w:numPr>
        <w:pStyle w:val="Compact"/>
      </w:pPr>
      <w:r>
        <w:rPr>
          <w:bCs/>
          <w:b/>
        </w:rPr>
        <w:t xml:space="preserve">Renewable Energy Usage:</w:t>
      </w:r>
      <w:r>
        <w:t xml:space="preserve"> </w:t>
      </w:r>
      <w:r>
        <w:t xml:space="preserve">gvrhyssiyq (Example: 75%)</w:t>
      </w:r>
    </w:p>
    <w:p>
      <w:pPr>
        <w:numPr>
          <w:ilvl w:val="0"/>
          <w:numId w:val="1003"/>
        </w:numPr>
        <w:pStyle w:val="Compact"/>
      </w:pPr>
      <w:r>
        <w:rPr>
          <w:bCs/>
          <w:b/>
        </w:rPr>
        <w:t xml:space="preserve">Energy Intensity (kWh/unit):</w:t>
      </w:r>
      <w:r>
        <w:t xml:space="preserve"> </w:t>
      </w:r>
      <w:r>
        <w:t xml:space="preserve">jvmiuslhhj (Example: 2.5 kWh/unit)</w:t>
      </w:r>
    </w:p>
    <w:p>
      <w:pPr>
        <w:numPr>
          <w:ilvl w:val="0"/>
          <w:numId w:val="1003"/>
        </w:numPr>
        <w:pStyle w:val="Compact"/>
      </w:pPr>
      <w:r>
        <w:rPr>
          <w:bCs/>
          <w:b/>
        </w:rPr>
        <w:t xml:space="preserve">Electricity Grid Emission Factor (China):</w:t>
      </w:r>
      <w:r>
        <w:t xml:space="preserve"> </w:t>
      </w:r>
      <w:r>
        <w:t xml:space="preserve">0.55 kg CO2e/kWh (average)</w:t>
      </w:r>
    </w:p>
    <w:bookmarkEnd w:id="31"/>
    <w:bookmarkStart w:id="32" w:name="logistics-data"/>
    <w:p>
      <w:pPr>
        <w:pStyle w:val="Heading3"/>
      </w:pPr>
      <w:r>
        <w:t xml:space="preserve">3.3. Logistics Data</w:t>
      </w:r>
    </w:p>
    <w:p>
      <w:pPr>
        <w:numPr>
          <w:ilvl w:val="0"/>
          <w:numId w:val="1004"/>
        </w:numPr>
        <w:pStyle w:val="Compact"/>
      </w:pPr>
      <w:r>
        <w:rPr>
          <w:bCs/>
          <w:b/>
        </w:rPr>
        <w:t xml:space="preserve">Transport Mode:</w:t>
      </w:r>
      <w:r>
        <w:t xml:space="preserve"> </w:t>
      </w:r>
      <w:r>
        <w:t xml:space="preserve">Select Mode (Example: Ocean Freight for primary inbound, Heavy-Duty Truck for European distribution, Light Commercial Van for last-mile)</w:t>
      </w:r>
    </w:p>
    <w:p>
      <w:pPr>
        <w:numPr>
          <w:ilvl w:val="0"/>
          <w:numId w:val="1004"/>
        </w:numPr>
        <w:pStyle w:val="Compact"/>
      </w:pPr>
      <w:r>
        <w:rPr>
          <w:bCs/>
          <w:b/>
        </w:rPr>
        <w:t xml:space="preserve">Transport Distance:</w:t>
      </w:r>
      <w:r>
        <w:t xml:space="preserve"> </w:t>
      </w:r>
      <w:r>
        <w:t xml:space="preserve">puuxvxspgl (Example: 10,000 km Ocean Freight, 500 km Heavy-Duty Truck, 50 km Light Commercial Van)</w:t>
      </w:r>
    </w:p>
    <w:p>
      <w:pPr>
        <w:numPr>
          <w:ilvl w:val="0"/>
          <w:numId w:val="1004"/>
        </w:numPr>
        <w:pStyle w:val="Compact"/>
      </w:pPr>
      <w:r>
        <w:rPr>
          <w:bCs/>
          <w:b/>
        </w:rPr>
        <w:t xml:space="preserve">Last-Mile Delivery Channel:</w:t>
      </w:r>
      <w:r>
        <w:t xml:space="preserve"> </w:t>
      </w:r>
      <w:r>
        <w:t xml:space="preserve">Delivery Type (Example: Light Commercial Van)</w:t>
      </w:r>
    </w:p>
    <w:p>
      <w:pPr>
        <w:numPr>
          <w:ilvl w:val="0"/>
          <w:numId w:val="1004"/>
        </w:numPr>
        <w:pStyle w:val="Compact"/>
      </w:pPr>
      <w:r>
        <w:rPr>
          <w:bCs/>
          <w:b/>
        </w:rPr>
        <w:t xml:space="preserve">Emission Factor - Ocean Freight (Container Ship):</w:t>
      </w:r>
      <w:r>
        <w:t xml:space="preserve"> </w:t>
      </w:r>
      <w:r>
        <w:t xml:space="preserve">0.016 kg CO2e/tonne-km</w:t>
      </w:r>
    </w:p>
    <w:p>
      <w:pPr>
        <w:numPr>
          <w:ilvl w:val="0"/>
          <w:numId w:val="1004"/>
        </w:numPr>
        <w:pStyle w:val="Compact"/>
      </w:pPr>
      <w:r>
        <w:rPr>
          <w:bCs/>
          <w:b/>
        </w:rPr>
        <w:t xml:space="preserve">Emission Factor - Heavy-Duty Truck (Europe):</w:t>
      </w:r>
      <w:r>
        <w:t xml:space="preserve"> </w:t>
      </w:r>
      <w:r>
        <w:t xml:space="preserve">0.057 kg CO2e/tonne-km</w:t>
      </w:r>
    </w:p>
    <w:p>
      <w:pPr>
        <w:numPr>
          <w:ilvl w:val="0"/>
          <w:numId w:val="1004"/>
        </w:numPr>
        <w:pStyle w:val="Compact"/>
      </w:pPr>
      <w:r>
        <w:rPr>
          <w:bCs/>
          <w:b/>
        </w:rPr>
        <w:t xml:space="preserve">Emission Factor - Light Commercial Van (Last-Mile):</w:t>
      </w:r>
      <w:r>
        <w:t xml:space="preserve"> </w:t>
      </w:r>
      <w:r>
        <w:t xml:space="preserve">0.249 kg CO2e/km (assuming an average payload of 0.5 tonnes, this translates to approx. 0.498 kg CO2e/tonne-km)</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dytjzedxls (Example: 5 years)</w:t>
      </w:r>
    </w:p>
    <w:p>
      <w:pPr>
        <w:numPr>
          <w:ilvl w:val="0"/>
          <w:numId w:val="1005"/>
        </w:numPr>
        <w:pStyle w:val="Compact"/>
      </w:pPr>
      <w:r>
        <w:rPr>
          <w:bCs/>
          <w:b/>
        </w:rPr>
        <w:t xml:space="preserve">Energy Consumption in Use:</w:t>
      </w:r>
      <w:r>
        <w:t xml:space="preserve"> </w:t>
      </w:r>
      <w:r>
        <w:t xml:space="preserve">mhkksvfmdi (Example: 0.1 kWh/day)</w:t>
      </w:r>
    </w:p>
    <w:p>
      <w:pPr>
        <w:numPr>
          <w:ilvl w:val="0"/>
          <w:numId w:val="1005"/>
        </w:numPr>
        <w:pStyle w:val="Compact"/>
      </w:pPr>
      <w:r>
        <w:rPr>
          <w:bCs/>
          <w:b/>
        </w:rPr>
        <w:t xml:space="preserve">Electricity Grid Emission Factor (Europe Average for user location):</w:t>
      </w:r>
      <w:r>
        <w:t xml:space="preserve"> </w:t>
      </w:r>
      <w:r>
        <w:t xml:space="preserve">0.25 kg CO2e/kWh</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neygxsqryd (Example: 60%)</w:t>
      </w:r>
    </w:p>
    <w:p>
      <w:pPr>
        <w:numPr>
          <w:ilvl w:val="0"/>
          <w:numId w:val="1006"/>
        </w:numPr>
        <w:pStyle w:val="Compact"/>
      </w:pPr>
      <w:r>
        <w:rPr>
          <w:bCs/>
          <w:b/>
        </w:rPr>
        <w:t xml:space="preserve">Circular/Take-back Programs:</w:t>
      </w:r>
      <w:r>
        <w:t xml:space="preserve"> </w:t>
      </w:r>
      <w:r>
        <w:t xml:space="preserve">xntxmppjtj (Example: Product take-back program with material recovery)</w:t>
      </w:r>
    </w:p>
    <w:p>
      <w:pPr>
        <w:numPr>
          <w:ilvl w:val="0"/>
          <w:numId w:val="1006"/>
        </w:numPr>
        <w:pStyle w:val="Compact"/>
      </w:pPr>
      <w:r>
        <w:rPr>
          <w:bCs/>
          <w:b/>
        </w:rPr>
        <w:t xml:space="preserve">Illustrative EoL Disposal Emission Factor:</w:t>
      </w:r>
      <w:r>
        <w:t xml:space="preserve"> </w:t>
      </w:r>
      <w:r>
        <w:t xml:space="preserve">0.8 kg CO2e/kg (for non-recycled waste)</w:t>
      </w:r>
    </w:p>
    <w:p>
      <w:pPr>
        <w:numPr>
          <w:ilvl w:val="0"/>
          <w:numId w:val="1006"/>
        </w:numPr>
        <w:pStyle w:val="Compact"/>
      </w:pPr>
      <w:r>
        <w:rPr>
          <w:bCs/>
          <w:b/>
        </w:rPr>
        <w:t xml:space="preserve">Illustrative EoL Recycling Credit Factor:</w:t>
      </w:r>
      <w:r>
        <w:t xml:space="preserve"> </w:t>
      </w:r>
      <w:r>
        <w:t xml:space="preserve">-4.25 kg CO2e/kg (average material EF avoided)</w:t>
      </w:r>
    </w:p>
    <w:p>
      <w:r>
        <w:pict>
          <v:rect style="width:0;height:1.5pt" o:hralign="center" o:hrstd="t" o:hr="t"/>
        </w:pict>
      </w:r>
    </w:p>
    <w:bookmarkEnd w:id="34"/>
    <w:bookmarkEnd w:id="35"/>
    <w:bookmarkStart w:id="42" w:name="emission-calculations"/>
    <w:p>
      <w:pPr>
        <w:pStyle w:val="Heading2"/>
      </w:pPr>
      <w:r>
        <w:t xml:space="preserve">4. Emission Calculations</w:t>
      </w:r>
    </w:p>
    <w:p>
      <w:pPr>
        <w:pStyle w:val="FirstParagraph"/>
      </w:pPr>
      <w:r>
        <w:t xml:space="preserve">Emissions are calculated by multiplying activity data by relevant emission factors. The results are categorized according to GHG Protocol Scopes.</w:t>
      </w:r>
    </w:p>
    <w:bookmarkStart w:id="36" w:name="scope-1-emissions-direct-emissions"/>
    <w:p>
      <w:pPr>
        <w:pStyle w:val="Heading3"/>
      </w:pPr>
      <w:r>
        <w:t xml:space="preserve">4.1. Scope 1 Emissions (Direct Emissions)</w:t>
      </w:r>
    </w:p>
    <w:p>
      <w:pPr>
        <w:pStyle w:val="FirstParagraph"/>
      </w:pPr>
      <w:r>
        <w:t xml:space="preserve">This analysis assumes no direct Scope 1 emissions at the</w:t>
      </w:r>
      <w:r>
        <w:t xml:space="preserve"> </w:t>
      </w:r>
      <w:r>
        <w:rPr>
          <w:bCs/>
          <w:b/>
        </w:rPr>
        <w:t xml:space="preserve">lgmhornrdh</w:t>
      </w:r>
      <w:r>
        <w:t xml:space="preserve"> </w:t>
      </w:r>
      <w:r>
        <w:t xml:space="preserve">manufacturing facility as production energy is primarily electricity (Scope 2). Any minor fugitive emissions or direct fuel combustion would be added here if specific data were available. For the purpose of this PCF, Scope 1 is considered negligible or zero based on available parameters.</w:t>
      </w:r>
    </w:p>
    <w:p>
      <w:pPr>
        <w:pStyle w:val="BodyText"/>
      </w:pPr>
      <w:r>
        <w:rPr>
          <w:bCs/>
          <w:b/>
        </w:rPr>
        <w:t xml:space="preserve">Total Scope 1 Emissions: 0.00 kg CO2e</w:t>
      </w:r>
    </w:p>
    <w:bookmarkEnd w:id="36"/>
    <w:bookmarkStart w:id="37" w:name="scope-2-emissions-purchased-energy"/>
    <w:p>
      <w:pPr>
        <w:pStyle w:val="Heading3"/>
      </w:pPr>
      <w:r>
        <w:t xml:space="preserve">4.2. Scope 2 Emissions (Purchased Energy)</w:t>
      </w:r>
    </w:p>
    <w:p>
      <w:pPr>
        <w:pStyle w:val="FirstParagraph"/>
      </w:pPr>
      <w:r>
        <w:t xml:space="preserve">Emissions from purchased electricity for the manufacturing process.</w:t>
      </w:r>
    </w:p>
    <w:p>
      <w:pPr>
        <w:numPr>
          <w:ilvl w:val="0"/>
          <w:numId w:val="1007"/>
        </w:numPr>
        <w:pStyle w:val="Compact"/>
      </w:pPr>
      <w:r>
        <w:t xml:space="preserve">Energy Intensity: 2.5 kWh/unit</w:t>
      </w:r>
    </w:p>
    <w:p>
      <w:pPr>
        <w:numPr>
          <w:ilvl w:val="0"/>
          <w:numId w:val="1007"/>
        </w:numPr>
        <w:pStyle w:val="Compact"/>
      </w:pPr>
      <w:r>
        <w:t xml:space="preserve">Renewable Energy Usage: 75%</w:t>
      </w:r>
    </w:p>
    <w:p>
      <w:pPr>
        <w:numPr>
          <w:ilvl w:val="0"/>
          <w:numId w:val="1007"/>
        </w:numPr>
        <w:pStyle w:val="Compact"/>
      </w:pPr>
      <w:r>
        <w:t xml:space="preserve">Non-renewable energy consumed: 2.5 kWh/unit * (1 - 0.75) = 0.625 kWh/unit</w:t>
      </w:r>
    </w:p>
    <w:p>
      <w:pPr>
        <w:numPr>
          <w:ilvl w:val="0"/>
          <w:numId w:val="1007"/>
        </w:numPr>
        <w:pStyle w:val="Compact"/>
      </w:pPr>
      <w:r>
        <w:t xml:space="preserve">China Electricity Grid Emission Factor: 0.55 kg CO2e/kWh</w:t>
      </w:r>
    </w:p>
    <w:p>
      <w:pPr>
        <w:numPr>
          <w:ilvl w:val="0"/>
          <w:numId w:val="1007"/>
        </w:numPr>
        <w:pStyle w:val="Compact"/>
      </w:pPr>
      <w:r>
        <w:rPr>
          <w:bCs/>
          <w:b/>
        </w:rPr>
        <w:t xml:space="preserve">Production Energy Emissions:</w:t>
      </w:r>
      <w:r>
        <w:t xml:space="preserve"> </w:t>
      </w:r>
      <w:r>
        <w:t xml:space="preserve">0.625 kWh/unit * 0.55 kg CO2e/kWh = 0.344 kg CO2e</w:t>
      </w:r>
    </w:p>
    <w:p>
      <w:pPr>
        <w:pStyle w:val="FirstParagraph"/>
      </w:pPr>
      <w:r>
        <w:rPr>
          <w:bCs/>
          <w:b/>
        </w:rPr>
        <w:t xml:space="preserve">Total Scope 2 Emissions: 0.344 kg CO2e</w:t>
      </w:r>
    </w:p>
    <w:bookmarkEnd w:id="37"/>
    <w:bookmarkStart w:id="40" w:name="scope-3-emissions-value-chain"/>
    <w:p>
      <w:pPr>
        <w:pStyle w:val="Heading3"/>
      </w:pPr>
      <w:r>
        <w:t xml:space="preserve">4.3. Scope 3 Emissions (Value Chain)</w:t>
      </w:r>
    </w:p>
    <w:p>
      <w:pPr>
        <w:pStyle w:val="FirstParagraph"/>
      </w:pPr>
      <w:r>
        <w:t xml:space="preserve">Scope 3 emissions are broken down into upstream and downstream categories, ensuring over 95% coverage.</w:t>
      </w:r>
    </w:p>
    <w:bookmarkStart w:id="38" w:name="upstream-emissions"/>
    <w:p>
      <w:pPr>
        <w:pStyle w:val="Heading4"/>
      </w:pPr>
      <w:r>
        <w:t xml:space="preserve">4.3.1. Upstream Emissions</w:t>
      </w:r>
    </w:p>
    <w:p>
      <w:pPr>
        <w:numPr>
          <w:ilvl w:val="0"/>
          <w:numId w:val="1008"/>
        </w:numPr>
        <w:pStyle w:val="Compact"/>
      </w:pPr>
      <w:r>
        <w:rPr>
          <w:bCs/>
          <w:b/>
        </w:rPr>
        <w:t xml:space="preserve">Materials Acquisition &amp; Pre-processing:</w:t>
      </w:r>
    </w:p>
    <w:p>
      <w:pPr>
        <w:numPr>
          <w:ilvl w:val="1"/>
          <w:numId w:val="1009"/>
        </w:numPr>
        <w:pStyle w:val="Compact"/>
      </w:pPr>
      <w:r>
        <w:t xml:space="preserve">Total from BOM (zilhdfsk): 7.66 kg CO2e (Sum of \'Total Carbon\' from BOM table)</w:t>
      </w:r>
    </w:p>
    <w:p>
      <w:pPr>
        <w:numPr>
          <w:ilvl w:val="0"/>
          <w:numId w:val="1008"/>
        </w:numPr>
        <w:pStyle w:val="Compact"/>
      </w:pPr>
      <w:r>
        <w:rPr>
          <w:bCs/>
          <w:b/>
        </w:rPr>
        <w:t xml:space="preserve">Transport (Inbound Logistics - from China to Europe):</w:t>
      </w:r>
    </w:p>
    <w:p>
      <w:pPr>
        <w:numPr>
          <w:ilvl w:val="1"/>
          <w:numId w:val="1010"/>
        </w:numPr>
        <w:pStyle w:val="Compact"/>
      </w:pPr>
      <w:r>
        <w:t xml:space="preserve">Product Weight: 0.002 tonne (2.0 kg)</w:t>
      </w:r>
    </w:p>
    <w:p>
      <w:pPr>
        <w:numPr>
          <w:ilvl w:val="1"/>
          <w:numId w:val="1010"/>
        </w:numPr>
        <w:pStyle w:val="Compact"/>
      </w:pPr>
      <w:r>
        <w:t xml:space="preserve">Ocean Freight Distance: 10,000 km</w:t>
      </w:r>
    </w:p>
    <w:p>
      <w:pPr>
        <w:numPr>
          <w:ilvl w:val="1"/>
          <w:numId w:val="1010"/>
        </w:numPr>
        <w:pStyle w:val="Compact"/>
      </w:pPr>
      <w:r>
        <w:t xml:space="preserve">Ocean Freight Emission Factor: 0.016 kg CO2e/tonne-km</w:t>
      </w:r>
    </w:p>
    <w:p>
      <w:pPr>
        <w:numPr>
          <w:ilvl w:val="1"/>
          <w:numId w:val="1010"/>
        </w:numPr>
        <w:pStyle w:val="Compact"/>
      </w:pPr>
      <w:r>
        <w:rPr>
          <w:bCs/>
          <w:b/>
        </w:rPr>
        <w:t xml:space="preserve">Ocean Freight Emissions:</w:t>
      </w:r>
      <w:r>
        <w:t xml:space="preserve"> </w:t>
      </w:r>
      <w:r>
        <w:t xml:space="preserve">0.002 tonne * 10,000 km * 0.016 kg CO2e/tonne-km = 0.320 kg CO2e</w:t>
      </w:r>
    </w:p>
    <w:p>
      <w:pPr>
        <w:numPr>
          <w:ilvl w:val="1"/>
          <w:numId w:val="1010"/>
        </w:numPr>
        <w:pStyle w:val="Compact"/>
      </w:pPr>
      <w:r>
        <w:t xml:space="preserve">Heavy-Duty Truck Distance (Europe distribution): 500 km</w:t>
      </w:r>
    </w:p>
    <w:p>
      <w:pPr>
        <w:numPr>
          <w:ilvl w:val="1"/>
          <w:numId w:val="1010"/>
        </w:numPr>
        <w:pStyle w:val="Compact"/>
      </w:pPr>
      <w:r>
        <w:t xml:space="preserve">Heavy-Duty Truck Emission Factor: 0.057 kg CO2e/tonne-km</w:t>
      </w:r>
    </w:p>
    <w:p>
      <w:pPr>
        <w:numPr>
          <w:ilvl w:val="1"/>
          <w:numId w:val="1010"/>
        </w:numPr>
        <w:pStyle w:val="Compact"/>
      </w:pPr>
      <w:r>
        <w:rPr>
          <w:bCs/>
          <w:b/>
        </w:rPr>
        <w:t xml:space="preserve">Heavy-Duty Truck Emissions:</w:t>
      </w:r>
      <w:r>
        <w:t xml:space="preserve"> </w:t>
      </w:r>
      <w:r>
        <w:t xml:space="preserve">0.002 tonne * 500 km * 0.057 kg CO2e/tonne-km = 0.057 kg CO2e</w:t>
      </w:r>
    </w:p>
    <w:p>
      <w:pPr>
        <w:pStyle w:val="FirstParagraph"/>
      </w:pPr>
      <w:r>
        <w:rPr>
          <w:bCs/>
          <w:b/>
        </w:rPr>
        <w:t xml:space="preserve">Total Upstream Scope 3 Emissions:</w:t>
      </w:r>
      <w:r>
        <w:t xml:space="preserve"> </w:t>
      </w:r>
      <w:r>
        <w:t xml:space="preserve">7.66 kg CO2e (Materials) + 0.320 kg CO2e (Ocean Freight) + 0.057 kg CO2e (Truck) =</w:t>
      </w:r>
      <w:r>
        <w:t xml:space="preserve"> </w:t>
      </w:r>
      <w:r>
        <w:rPr>
          <w:bCs/>
          <w:b/>
        </w:rPr>
        <w:t xml:space="preserve">8.037 kg CO2e</w:t>
      </w:r>
    </w:p>
    <w:bookmarkEnd w:id="38"/>
    <w:bookmarkStart w:id="39" w:name="downstream-emissions"/>
    <w:p>
      <w:pPr>
        <w:pStyle w:val="Heading4"/>
      </w:pPr>
      <w:r>
        <w:t xml:space="preserve">4.3.2. Downstream Emissions</w:t>
      </w:r>
    </w:p>
    <w:p>
      <w:pPr>
        <w:numPr>
          <w:ilvl w:val="0"/>
          <w:numId w:val="1011"/>
        </w:numPr>
        <w:pStyle w:val="Compact"/>
      </w:pPr>
      <w:r>
        <w:rPr>
          <w:bCs/>
          <w:b/>
        </w:rPr>
        <w:t xml:space="preserve">Transport (Last-Mile Delivery):</w:t>
      </w:r>
    </w:p>
    <w:p>
      <w:pPr>
        <w:numPr>
          <w:ilvl w:val="1"/>
          <w:numId w:val="1012"/>
        </w:numPr>
        <w:pStyle w:val="Compact"/>
      </w:pPr>
      <w:r>
        <w:t xml:space="preserve">Product Weight: 0.002 tonne (2.0 kg)</w:t>
      </w:r>
    </w:p>
    <w:p>
      <w:pPr>
        <w:numPr>
          <w:ilvl w:val="1"/>
          <w:numId w:val="1012"/>
        </w:numPr>
        <w:pStyle w:val="Compact"/>
      </w:pPr>
      <w:r>
        <w:t xml:space="preserve">Last-Mile Distance: 50 km</w:t>
      </w:r>
    </w:p>
    <w:p>
      <w:pPr>
        <w:numPr>
          <w:ilvl w:val="1"/>
          <w:numId w:val="1012"/>
        </w:numPr>
        <w:pStyle w:val="Compact"/>
      </w:pPr>
      <w:r>
        <w:t xml:space="preserve">Light Commercial Van Emission Factor: 0.498 kg CO2e/tonne-km (calculated from 0.249 kg CO2e/km for 0.5t payload)</w:t>
      </w:r>
    </w:p>
    <w:p>
      <w:pPr>
        <w:numPr>
          <w:ilvl w:val="1"/>
          <w:numId w:val="1012"/>
        </w:numPr>
        <w:pStyle w:val="Compact"/>
      </w:pPr>
      <w:r>
        <w:rPr>
          <w:bCs/>
          <w:b/>
        </w:rPr>
        <w:t xml:space="preserve">Last-Mile Emissions:</w:t>
      </w:r>
      <w:r>
        <w:t xml:space="preserve"> </w:t>
      </w:r>
      <w:r>
        <w:t xml:space="preserve">0.002 tonne * 50 km * 0.498 kg CO2e/tonne-km = 0.0498 kg CO2e</w:t>
      </w:r>
    </w:p>
    <w:p>
      <w:pPr>
        <w:numPr>
          <w:ilvl w:val="0"/>
          <w:numId w:val="1011"/>
        </w:numPr>
        <w:pStyle w:val="Compact"/>
      </w:pPr>
      <w:r>
        <w:rPr>
          <w:bCs/>
          <w:b/>
        </w:rPr>
        <w:t xml:space="preserve">Use Phase:</w:t>
      </w:r>
    </w:p>
    <w:p>
      <w:pPr>
        <w:numPr>
          <w:ilvl w:val="1"/>
          <w:numId w:val="1013"/>
        </w:numPr>
        <w:pStyle w:val="Compact"/>
      </w:pPr>
      <w:r>
        <w:t xml:space="preserve">Product Lifespan: 5 years</w:t>
      </w:r>
    </w:p>
    <w:p>
      <w:pPr>
        <w:numPr>
          <w:ilvl w:val="1"/>
          <w:numId w:val="1013"/>
        </w:numPr>
        <w:pStyle w:val="Compact"/>
      </w:pPr>
      <w:r>
        <w:t xml:space="preserve">Energy Consumption in Use: 0.1 kWh/day</w:t>
      </w:r>
    </w:p>
    <w:p>
      <w:pPr>
        <w:numPr>
          <w:ilvl w:val="1"/>
          <w:numId w:val="1013"/>
        </w:numPr>
        <w:pStyle w:val="Compact"/>
      </w:pPr>
      <w:r>
        <w:t xml:space="preserve">Total Energy Consumption over Lifespan: 0.1 kWh/day * 365 days/year * 5 years = 182.5 kWh</w:t>
      </w:r>
    </w:p>
    <w:p>
      <w:pPr>
        <w:numPr>
          <w:ilvl w:val="1"/>
          <w:numId w:val="1013"/>
        </w:numPr>
        <w:pStyle w:val="Compact"/>
      </w:pPr>
      <w:r>
        <w:t xml:space="preserve">Europe Electricity Grid Emission Factor: 0.25 kg CO2e/kWh</w:t>
      </w:r>
    </w:p>
    <w:p>
      <w:pPr>
        <w:numPr>
          <w:ilvl w:val="1"/>
          <w:numId w:val="1013"/>
        </w:numPr>
        <w:pStyle w:val="Compact"/>
      </w:pPr>
      <w:r>
        <w:rPr>
          <w:bCs/>
          <w:b/>
        </w:rPr>
        <w:t xml:space="preserve">Use Phase Emissions:</w:t>
      </w:r>
      <w:r>
        <w:t xml:space="preserve"> </w:t>
      </w:r>
      <w:r>
        <w:t xml:space="preserve">182.5 kWh * 0.25 kg CO2e/kWh = 45.625 kg CO2e</w:t>
      </w:r>
    </w:p>
    <w:p>
      <w:pPr>
        <w:numPr>
          <w:ilvl w:val="0"/>
          <w:numId w:val="1011"/>
        </w:numPr>
        <w:pStyle w:val="Compact"/>
      </w:pPr>
      <w:r>
        <w:rPr>
          <w:bCs/>
          <w:b/>
        </w:rPr>
        <w:t xml:space="preserve">End-of-Life (EoL):</w:t>
      </w:r>
    </w:p>
    <w:p>
      <w:pPr>
        <w:numPr>
          <w:ilvl w:val="1"/>
          <w:numId w:val="1014"/>
        </w:numPr>
        <w:pStyle w:val="Compact"/>
      </w:pPr>
      <w:r>
        <w:t xml:space="preserve">Product Weight: 2.0 kg</w:t>
      </w:r>
    </w:p>
    <w:p>
      <w:pPr>
        <w:numPr>
          <w:ilvl w:val="1"/>
          <w:numId w:val="1014"/>
        </w:numPr>
        <w:pStyle w:val="Compact"/>
      </w:pPr>
      <w:r>
        <w:t xml:space="preserve">Recyclability Percentage: 60%</w:t>
      </w:r>
    </w:p>
    <w:p>
      <w:pPr>
        <w:numPr>
          <w:ilvl w:val="1"/>
          <w:numId w:val="1014"/>
        </w:numPr>
        <w:pStyle w:val="Compact"/>
      </w:pPr>
      <w:r>
        <w:t xml:space="preserve">Non-recyclable portion: 2.0 kg * (1 - 0.60) = 0.8 kg</w:t>
      </w:r>
    </w:p>
    <w:p>
      <w:pPr>
        <w:numPr>
          <w:ilvl w:val="1"/>
          <w:numId w:val="1014"/>
        </w:numPr>
        <w:pStyle w:val="Compact"/>
      </w:pPr>
      <w:r>
        <w:t xml:space="preserve">Recyclable portion: 2.0 kg * 0.60 = 1.2 kg</w:t>
      </w:r>
    </w:p>
    <w:p>
      <w:pPr>
        <w:numPr>
          <w:ilvl w:val="1"/>
          <w:numId w:val="1014"/>
        </w:numPr>
        <w:pStyle w:val="Compact"/>
      </w:pPr>
      <w:r>
        <w:t xml:space="preserve">EoL Disposal Emission Factor (illustrative): 0.8 kg CO2e/kg</w:t>
      </w:r>
    </w:p>
    <w:p>
      <w:pPr>
        <w:numPr>
          <w:ilvl w:val="1"/>
          <w:numId w:val="1014"/>
        </w:numPr>
        <w:pStyle w:val="Compact"/>
      </w:pPr>
      <w:r>
        <w:t xml:space="preserve">EoL Recycling Credit Factor (illustrative, based on average avoided virgin material EF from BOM): -4.25 kg CO2e/kg</w:t>
      </w:r>
    </w:p>
    <w:p>
      <w:pPr>
        <w:numPr>
          <w:ilvl w:val="1"/>
          <w:numId w:val="1014"/>
        </w:numPr>
        <w:pStyle w:val="Compact"/>
      </w:pPr>
      <w:r>
        <w:rPr>
          <w:bCs/>
          <w:b/>
        </w:rPr>
        <w:t xml:space="preserve">EoL Disposal Emissions:</w:t>
      </w:r>
      <w:r>
        <w:t xml:space="preserve"> </w:t>
      </w:r>
      <w:r>
        <w:t xml:space="preserve">0.8 kg * 0.8 kg CO2e/kg = 0.64 kg CO2e</w:t>
      </w:r>
    </w:p>
    <w:p>
      <w:pPr>
        <w:numPr>
          <w:ilvl w:val="1"/>
          <w:numId w:val="1014"/>
        </w:numPr>
        <w:pStyle w:val="Compact"/>
      </w:pPr>
      <w:r>
        <w:rPr>
          <w:bCs/>
          <w:b/>
        </w:rPr>
        <w:t xml:space="preserve">EoL Recycling Credit:</w:t>
      </w:r>
      <w:r>
        <w:t xml:space="preserve"> </w:t>
      </w:r>
      <w:r>
        <w:t xml:space="preserve">1.2 kg * -4.25 kg CO2e/kg = -5.10 kg CO2e</w:t>
      </w:r>
    </w:p>
    <w:p>
      <w:pPr>
        <w:numPr>
          <w:ilvl w:val="1"/>
          <w:numId w:val="1014"/>
        </w:numPr>
        <w:pStyle w:val="Compact"/>
      </w:pPr>
      <w:r>
        <w:rPr>
          <w:bCs/>
          <w:b/>
        </w:rPr>
        <w:t xml:space="preserve">Net EoL Emissions:</w:t>
      </w:r>
      <w:r>
        <w:t xml:space="preserve"> </w:t>
      </w:r>
      <w:r>
        <w:t xml:space="preserve">0.64 kg CO2e - 5.10 kg CO2e = -4.46 kg CO2e</w:t>
      </w:r>
    </w:p>
    <w:p>
      <w:pPr>
        <w:numPr>
          <w:ilvl w:val="1"/>
          <w:numId w:val="1014"/>
        </w:numPr>
        <w:pStyle w:val="Compact"/>
      </w:pPr>
      <w:r>
        <w:t xml:space="preserve">The presence of a "Product take-back program with material recovery" (xntxmppjtj) supports the application of a recycling credit, reflecting the circular economy impacts.</w:t>
      </w:r>
    </w:p>
    <w:p>
      <w:pPr>
        <w:pStyle w:val="FirstParagraph"/>
      </w:pPr>
      <w:r>
        <w:rPr>
          <w:bCs/>
          <w:b/>
        </w:rPr>
        <w:t xml:space="preserve">Total Downstream Scope 3 Emissions:</w:t>
      </w:r>
      <w:r>
        <w:t xml:space="preserve"> </w:t>
      </w:r>
      <w:r>
        <w:t xml:space="preserve">0.0498 kg CO2e (Last-Mile) + 45.625 kg CO2e (Use Phase) - 4.46 kg CO2e (Net EoL) =</w:t>
      </w:r>
      <w:r>
        <w:t xml:space="preserve"> </w:t>
      </w:r>
      <w:r>
        <w:rPr>
          <w:bCs/>
          <w:b/>
        </w:rPr>
        <w:t xml:space="preserve">41.215 kg CO2e</w:t>
      </w:r>
    </w:p>
    <w:p>
      <w:pPr>
        <w:pStyle w:val="BodyText"/>
      </w:pPr>
      <w:r>
        <w:br/>
      </w:r>
    </w:p>
    <w:bookmarkEnd w:id="39"/>
    <w:bookmarkEnd w:id="40"/>
    <w:bookmarkStart w:id="41"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0.344</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7.660</w:t>
            </w:r>
          </w:p>
        </w:tc>
      </w:tr>
      <w:tr>
        <w:tc>
          <w:tcPr/>
          <w:p>
            <w:pPr>
              <w:pStyle w:val="Compact"/>
            </w:pPr>
          </w:p>
        </w:tc>
        <w:tc>
          <w:tcPr/>
          <w:p>
            <w:pPr>
              <w:pStyle w:val="Compact"/>
              <w:jc w:val="left"/>
            </w:pPr>
            <w:r>
              <w:t xml:space="preserve">Transport (Inbound Logistics - Ocean Freight)</w:t>
            </w:r>
          </w:p>
        </w:tc>
        <w:tc>
          <w:tcPr/>
          <w:p>
            <w:pPr>
              <w:pStyle w:val="Compact"/>
              <w:jc w:val="left"/>
            </w:pPr>
            <w:r>
              <w:t xml:space="preserve">0.320</w:t>
            </w:r>
          </w:p>
        </w:tc>
      </w:tr>
      <w:tr>
        <w:tc>
          <w:tcPr/>
          <w:p>
            <w:pPr>
              <w:pStyle w:val="Compact"/>
            </w:pPr>
          </w:p>
        </w:tc>
        <w:tc>
          <w:tcPr/>
          <w:p>
            <w:pPr>
              <w:pStyle w:val="Compact"/>
              <w:jc w:val="left"/>
            </w:pPr>
            <w:r>
              <w:t xml:space="preserve">Transport (Inbound Logistics - Heavy-Duty Truck)</w:t>
            </w:r>
          </w:p>
        </w:tc>
        <w:tc>
          <w:tcPr/>
          <w:p>
            <w:pPr>
              <w:pStyle w:val="Compact"/>
              <w:jc w:val="left"/>
            </w:pPr>
            <w:r>
              <w:t xml:space="preserve">0.057</w:t>
            </w:r>
          </w:p>
        </w:tc>
      </w:tr>
      <w:tr>
        <w:tc>
          <w:tcPr/>
          <w:p>
            <w:pPr>
              <w:pStyle w:val="Compact"/>
              <w:jc w:val="left"/>
            </w:pPr>
            <w:r>
              <w:t xml:space="preserve">Scope 3 (Downstream)</w:t>
            </w:r>
          </w:p>
        </w:tc>
        <w:tc>
          <w:tcPr/>
          <w:p>
            <w:pPr>
              <w:pStyle w:val="Compact"/>
              <w:jc w:val="left"/>
            </w:pPr>
            <w:r>
              <w:t xml:space="preserve">Transport (Last-Mile Delivery)</w:t>
            </w:r>
          </w:p>
        </w:tc>
        <w:tc>
          <w:tcPr/>
          <w:p>
            <w:pPr>
              <w:pStyle w:val="Compact"/>
              <w:jc w:val="left"/>
            </w:pPr>
            <w:r>
              <w:t xml:space="preserve">0.050</w:t>
            </w:r>
          </w:p>
        </w:tc>
      </w:tr>
      <w:tr>
        <w:tc>
          <w:tcPr/>
          <w:p>
            <w:pPr>
              <w:pStyle w:val="Compact"/>
            </w:pPr>
          </w:p>
        </w:tc>
        <w:tc>
          <w:tcPr/>
          <w:p>
            <w:pPr>
              <w:pStyle w:val="Compact"/>
              <w:jc w:val="left"/>
            </w:pPr>
            <w:r>
              <w:t xml:space="preserve">Use Phase</w:t>
            </w:r>
          </w:p>
        </w:tc>
        <w:tc>
          <w:tcPr/>
          <w:p>
            <w:pPr>
              <w:pStyle w:val="Compact"/>
              <w:jc w:val="left"/>
            </w:pPr>
            <w:r>
              <w:t xml:space="preserve">45.625</w:t>
            </w:r>
          </w:p>
        </w:tc>
      </w:tr>
      <w:tr>
        <w:tc>
          <w:tcPr/>
          <w:p>
            <w:pPr>
              <w:pStyle w:val="Compact"/>
            </w:pPr>
          </w:p>
        </w:tc>
        <w:tc>
          <w:tcPr/>
          <w:p>
            <w:pPr>
              <w:pStyle w:val="Compact"/>
              <w:jc w:val="left"/>
            </w:pPr>
            <w:r>
              <w:t xml:space="preserve">End-of-Life (Net Emissions/Credit)</w:t>
            </w:r>
          </w:p>
        </w:tc>
        <w:tc>
          <w:tcPr/>
          <w:p>
            <w:pPr>
              <w:pStyle w:val="Compact"/>
              <w:jc w:val="left"/>
            </w:pPr>
            <w:r>
              <w:t xml:space="preserve">-4.460</w:t>
            </w:r>
          </w:p>
        </w:tc>
      </w:tr>
      <w:tr>
        <w:tc>
          <w:tcPr>
            <w:gridSpan w:val="2"/>
          </w:tcPr>
          <w:p>
            <w:pPr>
              <w:pStyle w:val="Compact"/>
              <w:jc w:val="left"/>
            </w:pPr>
            <w:r>
              <w:t xml:space="preserve">TOTAL PRODUCT CARBON FOOTPRINT (PCF)</w:t>
            </w:r>
          </w:p>
        </w:tc>
        <w:tc>
          <w:tcPr/>
          <w:p>
            <w:pPr>
              <w:pStyle w:val="Compact"/>
              <w:jc w:val="left"/>
            </w:pPr>
            <w:r>
              <w:rPr>
                <w:bCs/>
                <w:b/>
              </w:rPr>
              <w:t xml:space="preserve">49.596 kg CO2e</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primary emission hotspots for</w:t>
      </w:r>
      <w:r>
        <w:t xml:space="preserve"> </w:t>
      </w:r>
      <w:r>
        <w:rPr>
          <w:bCs/>
          <w:b/>
        </w:rPr>
        <w:t xml:space="preserve">erdntrxzfp</w:t>
      </w:r>
      <w:r>
        <w:t xml:space="preserve"> </w:t>
      </w:r>
      <w:r>
        <w:t xml:space="preserve">are identified as:</w:t>
      </w:r>
    </w:p>
    <w:p>
      <w:pPr>
        <w:numPr>
          <w:ilvl w:val="0"/>
          <w:numId w:val="1015"/>
        </w:numPr>
        <w:pStyle w:val="Compact"/>
      </w:pPr>
      <w:r>
        <w:rPr>
          <w:bCs/>
          <w:b/>
        </w:rPr>
        <w:t xml:space="preserve">Use Phase (45.625 kg CO2e):</w:t>
      </w:r>
      <w:r>
        <w:t xml:space="preserve"> </w:t>
      </w:r>
      <w:r>
        <w:t xml:space="preserve">This is by far the largest contributor to the product\'s carbon footprint, accounting for approximately 92% of the total. This is due to the energy consumption of the product over its 5-year lifespan.</w:t>
      </w:r>
    </w:p>
    <w:p>
      <w:pPr>
        <w:numPr>
          <w:ilvl w:val="0"/>
          <w:numId w:val="1015"/>
        </w:numPr>
        <w:pStyle w:val="Compact"/>
      </w:pPr>
      <w:r>
        <w:rPr>
          <w:bCs/>
          <w:b/>
        </w:rPr>
        <w:t xml:space="preserve">Materials Acquisition &amp; Pre-processing (7.660 kg CO2e):</w:t>
      </w:r>
      <w:r>
        <w:t xml:space="preserve"> </w:t>
      </w:r>
      <w:r>
        <w:t xml:space="preserve">Constitutes the second largest hotspot, representing about 15% of the total footprint, highlighting the significant impact of raw material selection and manufacturing processes.</w:t>
      </w:r>
    </w:p>
    <w:p>
      <w:pPr>
        <w:pStyle w:val="FirstParagraph"/>
      </w:pPr>
      <w:r>
        <w:t xml:space="preserve">The overall PCF is positively impacted by the significant recycling credit at End-of-Life, which reduces the overall footprint.</w:t>
      </w:r>
    </w:p>
    <w:bookmarkEnd w:id="43"/>
    <w:bookmarkStart w:id="44" w:name="data-reliability-and-limitations"/>
    <w:p>
      <w:pPr>
        <w:pStyle w:val="Heading3"/>
      </w:pPr>
      <w:r>
        <w:t xml:space="preserve">5.2. Data Reliability and Limitations</w:t>
      </w:r>
    </w:p>
    <w:p>
      <w:pPr>
        <w:pStyle w:val="FirstParagraph"/>
      </w:pPr>
      <w:r>
        <w:t xml:space="preserve">The calculations are based on the provided parameters and a combination of primary (illustrative placeholder) data and secondary (industry-average) emission factors from reputable sources like DEFRA, EPA, Climatiq, and national energy grid reports. While efforts have been made to use the most relevant and up-to-date factors, certain limitations exist:</w:t>
      </w:r>
    </w:p>
    <w:p>
      <w:pPr>
        <w:numPr>
          <w:ilvl w:val="0"/>
          <w:numId w:val="1016"/>
        </w:numPr>
        <w:pStyle w:val="Compact"/>
      </w:pPr>
      <w:r>
        <w:t xml:space="preserve">The specific Bill of Materials (zilhdfsk) and other parameters (e.g., transport distances, energy consumption) were provided as generic strings, and illustrative numerical values were used for calculation. In a real-world scenario, these would be precise, validated figures.</w:t>
      </w:r>
    </w:p>
    <w:p>
      <w:pPr>
        <w:numPr>
          <w:ilvl w:val="0"/>
          <w:numId w:val="1016"/>
        </w:numPr>
        <w:pStyle w:val="Compact"/>
      </w:pPr>
      <w:r>
        <w:t xml:space="preserve">Generic emission factors were applied for certain processes and materials where specific values for</w:t>
      </w:r>
      <w:r>
        <w:t xml:space="preserve"> </w:t>
      </w:r>
      <w:r>
        <w:rPr>
          <w:bCs/>
          <w:b/>
        </w:rPr>
        <w:t xml:space="preserve">lgmhornrdh</w:t>
      </w:r>
      <w:r>
        <w:t xml:space="preserve"> </w:t>
      </w:r>
      <w:r>
        <w:t xml:space="preserve">or its suppliers were not available.</w:t>
      </w:r>
    </w:p>
    <w:p>
      <w:pPr>
        <w:numPr>
          <w:ilvl w:val="0"/>
          <w:numId w:val="1016"/>
        </w:numPr>
        <w:pStyle w:val="Compact"/>
      </w:pPr>
      <w:r>
        <w:t xml:space="preserve">The End-of-Life credit is an estimation based on an average avoided virgin material emission factor and generic disposal factors, and specific waste management infrastructure and market dynamics for recycled materials could alter this value.</w:t>
      </w:r>
    </w:p>
    <w:p>
      <w:pPr>
        <w:numPr>
          <w:ilvl w:val="0"/>
          <w:numId w:val="1016"/>
        </w:numPr>
        <w:pStyle w:val="Compact"/>
      </w:pPr>
      <w:r>
        <w:t xml:space="preserve">The 2026 LSR Standard for land use and removals is implicitly covered through comprehensive emission factors that account for upstream impacts. Direct land-use change specific to</w:t>
      </w:r>
      <w:r>
        <w:t xml:space="preserve"> </w:t>
      </w:r>
      <w:r>
        <w:rPr>
          <w:bCs/>
          <w:b/>
        </w:rPr>
        <w:t xml:space="preserve">erdntrxzfp\'s</w:t>
      </w:r>
      <w:r>
        <w:t xml:space="preserve"> </w:t>
      </w:r>
      <w:r>
        <w:t xml:space="preserve">production was not directly quantifiable from the provided parameters.</w:t>
      </w:r>
    </w:p>
    <w:bookmarkEnd w:id="44"/>
    <w:bookmarkStart w:id="45" w:name="recommendations-for-reduction"/>
    <w:p>
      <w:pPr>
        <w:pStyle w:val="Heading3"/>
      </w:pPr>
      <w:r>
        <w:t xml:space="preserve">5.3. Recommendations for Reduction</w:t>
      </w:r>
    </w:p>
    <w:p>
      <w:pPr>
        <w:pStyle w:val="FirstParagraph"/>
      </w:pPr>
      <w:r>
        <w:t xml:space="preserve">Based on the identified hotspots, the following recommendations are made for</w:t>
      </w:r>
      <w:r>
        <w:t xml:space="preserve"> </w:t>
      </w:r>
      <w:r>
        <w:rPr>
          <w:bCs/>
          <w:b/>
        </w:rPr>
        <w:t xml:space="preserve">lgmhornrdh</w:t>
      </w:r>
      <w:r>
        <w:t xml:space="preserve"> </w:t>
      </w:r>
      <w:r>
        <w:t xml:space="preserve">to reduce the carbon footprint of</w:t>
      </w:r>
      <w:r>
        <w:t xml:space="preserve"> </w:t>
      </w:r>
      <w:r>
        <w:rPr>
          <w:bCs/>
          <w:b/>
        </w:rPr>
        <w:t xml:space="preserve">erdntrxzfp</w:t>
      </w:r>
      <w:r>
        <w:t xml:space="preserve">:</w:t>
      </w:r>
    </w:p>
    <w:p>
      <w:pPr>
        <w:numPr>
          <w:ilvl w:val="0"/>
          <w:numId w:val="1017"/>
        </w:numPr>
        <w:pStyle w:val="Compact"/>
      </w:pPr>
      <w:r>
        <w:rPr>
          <w:bCs/>
          <w:b/>
        </w:rPr>
        <w:t xml:space="preserve">Optimize Use Phase:</w:t>
      </w:r>
      <w:r>
        <w:t xml:space="preserve"> </w:t>
      </w:r>
      <w:r>
        <w:t xml:space="preserve">Focus on improving the energy efficiency of</w:t>
      </w:r>
      <w:r>
        <w:t xml:space="preserve"> </w:t>
      </w:r>
      <w:r>
        <w:rPr>
          <w:bCs/>
          <w:b/>
        </w:rPr>
        <w:t xml:space="preserve">erdntrxzfp</w:t>
      </w:r>
      <w:r>
        <w:t xml:space="preserve"> </w:t>
      </w:r>
      <w:r>
        <w:t xml:space="preserve">during its operational lifespan (mhkksvfmdi). Exploring low-power modes, extending product durability, and integrating smart energy management features could yield substantial reductions. Encouraging the use of renewable energy sources by end-users in Europe could also significantly reduce this impact.</w:t>
      </w:r>
    </w:p>
    <w:p>
      <w:pPr>
        <w:numPr>
          <w:ilvl w:val="0"/>
          <w:numId w:val="1017"/>
        </w:numPr>
        <w:pStyle w:val="Compact"/>
      </w:pPr>
      <w:r>
        <w:rPr>
          <w:bCs/>
          <w:b/>
        </w:rPr>
        <w:t xml:space="preserve">Sustainable Material Sourcing:</w:t>
      </w:r>
      <w:r>
        <w:t xml:space="preserve"> </w:t>
      </w:r>
      <w:r>
        <w:t xml:space="preserve">Invest in materials with lower embodied carbon, explore recycled content where feasible, and work with suppliers to reduce emissions in material production processes (zilhdfsk).</w:t>
      </w:r>
    </w:p>
    <w:p>
      <w:pPr>
        <w:numPr>
          <w:ilvl w:val="0"/>
          <w:numId w:val="1017"/>
        </w:numPr>
        <w:pStyle w:val="Compact"/>
      </w:pPr>
      <w:r>
        <w:rPr>
          <w:bCs/>
          <w:b/>
        </w:rPr>
        <w:t xml:space="preserve">Enhance Circularity:</w:t>
      </w:r>
      <w:r>
        <w:t xml:space="preserve"> </w:t>
      </w:r>
      <w:r>
        <w:t xml:space="preserve">Further develop and promote the "Product take-back program with material recovery" (xntxmppjtj) to maximize recycling rates (neygxsqryd) and explore refurbishment or remanufacturing opportunities to extend product lifespans and further displace virgin material production.</w:t>
      </w:r>
    </w:p>
    <w:p>
      <w:pPr>
        <w:numPr>
          <w:ilvl w:val="0"/>
          <w:numId w:val="1017"/>
        </w:numPr>
        <w:pStyle w:val="Compact"/>
      </w:pPr>
      <w:r>
        <w:rPr>
          <w:bCs/>
          <w:b/>
        </w:rPr>
        <w:t xml:space="preserve">Renewable Energy in Production:</w:t>
      </w:r>
      <w:r>
        <w:t xml:space="preserve"> </w:t>
      </w:r>
      <w:r>
        <w:t xml:space="preserve">Continuously increase the percentage of renewable energy usage (gvrhyssiyq) at the manufacturing facility in China to reduce Scope 2 emissions.</w:t>
      </w:r>
    </w:p>
    <w:p>
      <w:pPr>
        <w:numPr>
          <w:ilvl w:val="0"/>
          <w:numId w:val="1017"/>
        </w:numPr>
        <w:pStyle w:val="Compact"/>
      </w:pPr>
      <w:r>
        <w:rPr>
          <w:bCs/>
          <w:b/>
        </w:rPr>
        <w:t xml:space="preserve">Logistics Optimization:</w:t>
      </w:r>
      <w:r>
        <w:t xml:space="preserve"> </w:t>
      </w:r>
      <w:r>
        <w:t xml:space="preserve">While transport is a smaller contributor, optimize shipping routes, consider more energy-efficient transport modes where possible (e.g., rail over road for longer distances within Europe), and consolidate shipments.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erdntrxzfp</dc:title>
  <dc:creator/>
  <dc:description>Detailed Product Carbon Footprint (PCF) analysis for erdntrxzfp, conducted by ltvkonkdrz, Senior Sustainability Consultant at lgmhornrdh, adhering to GHG Protocol standards and 2026 LSR Update.</dc:description>
  <dc:language>en</dc:language>
  <cp:keywords/>
  <dcterms:created xsi:type="dcterms:W3CDTF">2026-05-30T19:19:24Z</dcterms:created>
  <dcterms:modified xsi:type="dcterms:W3CDTF">2026-05-30T19:19:24Z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