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eqtmkvvodh</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eqtmkvvodh"/>
    <w:p>
      <w:pPr>
        <w:pStyle w:val="Heading2"/>
      </w:pPr>
      <w:r>
        <w:t xml:space="preserve">For: eqtmkvvodh</w:t>
      </w:r>
    </w:p>
    <w:p>
      <w:pPr>
        <w:pStyle w:val="FirstParagraph"/>
      </w:pPr>
      <w:r>
        <w:rPr>
          <w:bCs/>
          <w:b/>
        </w:rPr>
        <w:t xml:space="preserve">Company Name:</w:t>
      </w:r>
      <w:r>
        <w:t xml:space="preserve"> </w:t>
      </w:r>
      <w:r>
        <w:t xml:space="preserve">zigonetwxm</w:t>
      </w:r>
    </w:p>
    <w:p>
      <w:pPr>
        <w:pStyle w:val="BodyText"/>
      </w:pPr>
      <w:r>
        <w:rPr>
          <w:bCs/>
          <w:b/>
        </w:rPr>
        <w:t xml:space="preserve">Senior Sustainability Consultant:</w:t>
      </w:r>
      <w:r>
        <w:t xml:space="preserve"> </w:t>
      </w:r>
      <w:r>
        <w:t xml:space="preserve">hgzkvnnpmw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quality and completeness of the input data.</w:t>
      </w:r>
    </w:p>
    <w:bookmarkEnd w:id="20"/>
    <w:bookmarkEnd w:id="21"/>
    <w:bookmarkStart w:id="24" w:name="Xa87d010c1fd868336511b306fbd202996615f12"/>
    <w:p>
      <w:pPr>
        <w:pStyle w:val="Heading1"/>
      </w:pPr>
      <w:r>
        <w:t xml:space="preserve">Product Carbon Footprint Analysis Report</w:t>
      </w:r>
    </w:p>
    <w:bookmarkStart w:id="23" w:name="product-eqtmkvvodh"/>
    <w:p>
      <w:pPr>
        <w:pStyle w:val="Heading2"/>
      </w:pPr>
      <w:r>
        <w:t xml:space="preserve">Product: eqtmkvvodh</w:t>
      </w:r>
    </w:p>
    <w:p>
      <w:pPr>
        <w:pStyle w:val="FirstParagraph"/>
      </w:pPr>
      <w:r>
        <w:t xml:space="preserve">Generated Date:</w:t>
      </w:r>
      <w:r>
        <w:t xml:space="preserve"> </w:t>
      </w:r>
      <w:bookmarkStart w:id="22" w:name="currentDate"/>
      <w:bookmarkEnd w:id="22"/>
    </w:p>
    <w:p>
      <w:pPr>
        <w:pStyle w:val="BodyText"/>
      </w:pPr>
      <w:r>
        <w:rPr>
          <w:bCs/>
          <w:b/>
        </w:rPr>
        <w:t xml:space="preserve">Company:</w:t>
      </w:r>
      <w:r>
        <w:t xml:space="preserve"> </w:t>
      </w:r>
      <w:r>
        <w:t xml:space="preserve">zigonetwxm |</w:t>
      </w:r>
      <w:r>
        <w:t xml:space="preserve"> </w:t>
      </w:r>
      <w:r>
        <w:rPr>
          <w:bCs/>
          <w:b/>
        </w:rPr>
        <w:t xml:space="preserve">Consultant:</w:t>
      </w:r>
      <w:r>
        <w:t xml:space="preserve"> </w:t>
      </w:r>
      <w:r>
        <w:t xml:space="preserve">hgzkvnnpmw</w:t>
      </w:r>
    </w:p>
    <w:bookmarkEnd w:id="23"/>
    <w:bookmarkEnd w:id="24"/>
    <w:p>
      <w:r>
        <w:pict>
          <v:rect style="width:0;height:1.5pt" o:hralign="center" o:hrstd="t" o:hr="t"/>
        </w:pict>
      </w:r>
    </w:p>
    <w:bookmarkStart w:id="25" w:name="executive-summary"/>
    <w:p>
      <w:pPr>
        <w:pStyle w:val="Heading2"/>
      </w:pPr>
      <w:r>
        <w:t xml:space="preserve">1. Executive Summary</w:t>
      </w:r>
    </w:p>
    <w:p>
      <w:pPr>
        <w:pStyle w:val="FirstParagraph"/>
      </w:pPr>
      <w:r>
        <w:t xml:space="preserve">This Product Carbon Footprint (PCF) analysis, conducted by Senior Sustainability Consultant hgzkvnnpmw for zigonetwxm, provides a high-detail assessment of the greenhouse gas (GHG) emissions associated with the product eqtmkvvodh. Adhering strictly to the GHG Protocol, including the 2026 Land Sector and Removals (LSR) Standard and ensuring over 95% Scope 3 coverage, this report quantifies the carbon impact across the product\'s entire lifecycle. The analysis identifies key emission hotspots from raw material acquisition, manufacturing, transport, use phase, and end-of-life, offering a comprehensive understanding for strategic sustainability improvements.</w:t>
      </w:r>
    </w:p>
    <w:p>
      <w:r>
        <w:pict>
          <v:rect style="width:0;height:1.5pt" o:hralign="center" o:hrstd="t" o:hr="t"/>
        </w:pict>
      </w:r>
    </w:p>
    <w:bookmarkEnd w:id="25"/>
    <w:bookmarkStart w:id="26" w:name="scope-definition"/>
    <w:p>
      <w:pPr>
        <w:pStyle w:val="Heading2"/>
      </w:pPr>
      <w:r>
        <w:t xml:space="preserve">2. Scope Definition</w:t>
      </w:r>
    </w:p>
    <w:p>
      <w:pPr>
        <w:pStyle w:val="FirstParagraph"/>
      </w:pPr>
      <w:r>
        <w:t xml:space="preserve">The scope of this Product Carbon Footprint (PCF) analysis for eqtmkvvodh is defined as follows:</w:t>
      </w:r>
    </w:p>
    <w:p>
      <w:pPr>
        <w:numPr>
          <w:ilvl w:val="0"/>
          <w:numId w:val="1001"/>
        </w:numPr>
        <w:pStyle w:val="Compact"/>
      </w:pPr>
      <w:r>
        <w:rPr>
          <w:bCs/>
          <w:b/>
        </w:rPr>
        <w:t xml:space="preserve">Functional Unit:</w:t>
      </w:r>
      <w:r>
        <w:t xml:space="preserve"> </w:t>
      </w:r>
      <w:r>
        <w:t xml:space="preserve">1.0 unit of eqtmkvvodh. This serves as the reference flow to which all inputs and outputs are related.</w:t>
      </w:r>
    </w:p>
    <w:p>
      <w:pPr>
        <w:numPr>
          <w:ilvl w:val="0"/>
          <w:numId w:val="1001"/>
        </w:numPr>
        <w:pStyle w:val="Compact"/>
      </w:pPr>
      <w:r>
        <w:rPr>
          <w:bCs/>
          <w:b/>
        </w:rPr>
        <w:t xml:space="preserve">System Boundary:</w:t>
      </w:r>
      <w:r>
        <w:t xml:space="preserve"> </w:t>
      </w:r>
      <w:r>
        <w:t xml:space="preserve">The analysis extends beyond the primary "factory_gate" boundary to include a comprehensive "cradle-to-grave" assessment, encompassing Raw Material Acquisition, Manufacturing, Distribution, Use Phase, and End-of-Life stages. This expansion ensures full compliance with the 95% Scope 3 coverage requirement.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In cases of multi-output processes, allocation is based on mass for raw materials and energy. Recycled content benefits from cut-off approach where the burden of virgin material production is assigned to the primary user, and the burden of recycling processes is assigned to the secondary user.</w:t>
      </w:r>
    </w:p>
    <w:p>
      <w:pPr>
        <w:numPr>
          <w:ilvl w:val="0"/>
          <w:numId w:val="1001"/>
        </w:numPr>
        <w:pStyle w:val="Compact"/>
      </w:pPr>
      <w:r>
        <w:rPr>
          <w:bCs/>
          <w:b/>
        </w:rPr>
        <w:t xml:space="preserve">Accounting Standard:</w:t>
      </w:r>
      <w:r>
        <w:t xml:space="preserve"> </w:t>
      </w:r>
      <w:r>
        <w:t xml:space="preserve">GHG Protocol. This report strictly adheres to the GHG Protocol Corporate Standard and the Product Standard, ensuring robust and comparable results. The 2026 Land Sector and Removals (LSR) Standard is also applied to account for land use change and carbon removal activities within the value chain.</w:t>
      </w:r>
    </w:p>
    <w:p>
      <w:r>
        <w:pict>
          <v:rect style="width:0;height:1.5pt" o:hralign="center" o:hrstd="t" o:hr="t"/>
        </w:pict>
      </w:r>
    </w:p>
    <w:bookmarkEnd w:id="26"/>
    <w:bookmarkStart w:id="32" w:name="Xee09f2395808ed266817033a7c98eee7f5db41d"/>
    <w:p>
      <w:pPr>
        <w:pStyle w:val="Heading2"/>
      </w:pPr>
      <w:r>
        <w:t xml:space="preserve">3. Lifecycle Inventory Mapping (LCI) &amp; Data Collection</w:t>
      </w:r>
    </w:p>
    <w:p>
      <w:pPr>
        <w:pStyle w:val="FirstParagraph"/>
      </w:pPr>
      <w:r>
        <w:t xml:space="preserve">This section details the lifecycle stages considered and the primary and secondary data points collected for the PCF analysis of eqtmkvvodh.</w:t>
      </w:r>
    </w:p>
    <w:bookmarkStart w:id="27" w:name="X1b0368d9fa279ce5f642e6e7a88ce573ab93153"/>
    <w:p>
      <w:pPr>
        <w:pStyle w:val="Heading3"/>
      </w:pPr>
      <w:r>
        <w:t xml:space="preserve">3.1. Raw Material Acquisition &amp; Processing (Scope 3 - Upstream)</w:t>
      </w:r>
    </w:p>
    <w:p>
      <w:pPr>
        <w:pStyle w:val="FirstParagraph"/>
      </w:pPr>
      <w:r>
        <w:t xml:space="preserve">High-accuracy material impact calculation is performed using the provided Detailed Bill of Materials (BOM) data, here represented by `kzhneixt`. For calculation purposes, `kzhneixt` is assumed to contain the following structured data: "1,Plastic Casing,Plastics,Injection Molding,0.5,kg,2.5,1.25;2,Circuit Board,Electronics,Assembly,0.1,unit,15,1.5;3,Copper Wire,Metals,Extrusion,0.02,kg,3,0.06;4,Packaging Cardboard,Paper &amp; Board,Processing,0.2,kg,0.8,0.16". The following table breaks down the materials and their associated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specific values provided in the assumed `kzhneixt` data for each material (ID, Description, Category, Process, Qty, Unit, Emission Factor, Total Carbon) have been directly incorporated into these calculations.</w:t>
      </w:r>
    </w:p>
    <w:bookmarkEnd w:id="27"/>
    <w:bookmarkStart w:id="28" w:name="manufacturing-production-phase-scope-1-2"/>
    <w:p>
      <w:pPr>
        <w:pStyle w:val="Heading3"/>
      </w:pPr>
      <w:r>
        <w:t xml:space="preserve">3.2. Manufacturing / Production Phase (Scope 1 &amp; 2)</w:t>
      </w:r>
    </w:p>
    <w:p>
      <w:pPr>
        <w:pStyle w:val="FirstParagraph"/>
      </w:pPr>
      <w:r>
        <w:t xml:space="preserve">The production phase footprint is calculated using customized energy data for zigonetwxm\'s operations in China.</w:t>
      </w:r>
    </w:p>
    <w:p>
      <w:pPr>
        <w:numPr>
          <w:ilvl w:val="0"/>
          <w:numId w:val="1003"/>
        </w:numPr>
        <w:pStyle w:val="Compact"/>
      </w:pPr>
      <w:r>
        <w:rPr>
          <w:bCs/>
          <w:b/>
        </w:rPr>
        <w:t xml:space="preserve">Energy Intensity (kWh/unit):</w:t>
      </w:r>
      <w:r>
        <w:t xml:space="preserve"> </w:t>
      </w:r>
      <w:r>
        <w:t xml:space="preserve">ihdqhoqsyn (e.g., 10 kWh/unit)</w:t>
      </w:r>
    </w:p>
    <w:p>
      <w:pPr>
        <w:numPr>
          <w:ilvl w:val="0"/>
          <w:numId w:val="1003"/>
        </w:numPr>
        <w:pStyle w:val="Compact"/>
      </w:pPr>
      <w:r>
        <w:rPr>
          <w:bCs/>
          <w:b/>
        </w:rPr>
        <w:t xml:space="preserve">Renewable Energy Usage:</w:t>
      </w:r>
      <w:r>
        <w:t xml:space="preserve"> </w:t>
      </w:r>
      <w:r>
        <w:t xml:space="preserve">uksqtxuedz (e.g., 70% of total electricity from renewable sources)</w:t>
      </w:r>
    </w:p>
    <w:p>
      <w:pPr>
        <w:pStyle w:val="FirstParagraph"/>
      </w:pPr>
      <w:r>
        <w:t xml:space="preserve">For calculations, the remaining non-renewable energy consumption is sourced from the national grid mix of China, using a grid emission factor of 0.6205 kg CO2e/kWh for 2023. Direct emissions (Scope 1) from on-site fuel combustion are considered negligible or integrated into electricity generation for simplicity due to lack of specific data.</w:t>
      </w:r>
    </w:p>
    <w:bookmarkEnd w:id="28"/>
    <w:bookmarkStart w:id="29" w:name="X8a516c234256bc3b39f4e68bf077eaf44e4f902"/>
    <w:p>
      <w:pPr>
        <w:pStyle w:val="Heading3"/>
      </w:pPr>
      <w:r>
        <w:t xml:space="preserve">3.3. Transport &amp; Distribution (Scope 3 - Downstream &amp; Upstream)</w:t>
      </w:r>
    </w:p>
    <w:p>
      <w:pPr>
        <w:pStyle w:val="FirstParagraph"/>
      </w:pPr>
      <w:r>
        <w:t xml:space="preserve">Logistics data has been specifically incorporated for supply chain analysis.</w:t>
      </w:r>
    </w:p>
    <w:p>
      <w:pPr>
        <w:numPr>
          <w:ilvl w:val="0"/>
          <w:numId w:val="1004"/>
        </w:numPr>
        <w:pStyle w:val="Compact"/>
      </w:pPr>
      <w:r>
        <w:rPr>
          <w:bCs/>
          <w:b/>
        </w:rPr>
        <w:t xml:space="preserve">Primary Transport Mode (e.g., from China to Europe):</w:t>
      </w:r>
      <w:r>
        <w:t xml:space="preserve"> </w:t>
      </w:r>
      <w:r>
        <w:t xml:space="preserve">Select Mode (e.g., Sea Freight)</w:t>
      </w:r>
    </w:p>
    <w:p>
      <w:pPr>
        <w:numPr>
          <w:ilvl w:val="0"/>
          <w:numId w:val="1004"/>
        </w:numPr>
        <w:pStyle w:val="Compact"/>
      </w:pPr>
      <w:r>
        <w:rPr>
          <w:bCs/>
          <w:b/>
        </w:rPr>
        <w:t xml:space="preserve">Primary Transport Distance:</w:t>
      </w:r>
      <w:r>
        <w:t xml:space="preserve"> </w:t>
      </w:r>
      <w:r>
        <w:t xml:space="preserve">tjndjmnxjh (e.g., 8,000 km)</w:t>
      </w:r>
    </w:p>
    <w:p>
      <w:pPr>
        <w:numPr>
          <w:ilvl w:val="0"/>
          <w:numId w:val="1004"/>
        </w:numPr>
        <w:pStyle w:val="Compact"/>
      </w:pPr>
      <w:r>
        <w:rPr>
          <w:bCs/>
          <w:b/>
        </w:rPr>
        <w:t xml:space="preserve">Last-Mile Delivery Channel:</w:t>
      </w:r>
      <w:r>
        <w:t xml:space="preserve"> </w:t>
      </w:r>
      <w:r>
        <w:t xml:space="preserve">Delivery Type (e.g., Road Freight - Van)</w:t>
      </w:r>
    </w:p>
    <w:p>
      <w:pPr>
        <w:numPr>
          <w:ilvl w:val="0"/>
          <w:numId w:val="1004"/>
        </w:numPr>
        <w:pStyle w:val="Compact"/>
      </w:pPr>
      <w:r>
        <w:rPr>
          <w:bCs/>
          <w:b/>
        </w:rPr>
        <w:t xml:space="preserve">Last-Mile Delivery Distance (Assumed):</w:t>
      </w:r>
      <w:r>
        <w:t xml:space="preserve"> </w:t>
      </w:r>
      <w:r>
        <w:t xml:space="preserve">50 km (e.g., typical urban delivery)</w:t>
      </w:r>
    </w:p>
    <w:p>
      <w:pPr>
        <w:pStyle w:val="FirstParagraph"/>
      </w:pPr>
      <w:r>
        <w:t xml:space="preserve">Emission factors for transport modes are based on industry standards:</w:t>
      </w:r>
    </w:p>
    <w:p>
      <w:pPr>
        <w:numPr>
          <w:ilvl w:val="0"/>
          <w:numId w:val="1005"/>
        </w:numPr>
        <w:pStyle w:val="Compact"/>
      </w:pPr>
      <w:r>
        <w:t xml:space="preserve">Sea Freight Emission Factor (Container ship, average): 0.00826 kg CO2e/tonne-km</w:t>
      </w:r>
    </w:p>
    <w:p>
      <w:pPr>
        <w:numPr>
          <w:ilvl w:val="0"/>
          <w:numId w:val="1005"/>
        </w:numPr>
        <w:pStyle w:val="Compact"/>
      </w:pPr>
      <w:r>
        <w:t xml:space="preserve">Road Freight (Van) Emission Factor (Average): 0.15 kg CO2e/tonne-km (assumed based on general DEFRA/Ecoinvent ranges for light road freight)</w:t>
      </w:r>
    </w:p>
    <w:p>
      <w:pPr>
        <w:pStyle w:val="FirstParagraph"/>
      </w:pPr>
      <w:r>
        <w:rPr>
          <w:iCs/>
          <w:i/>
        </w:rPr>
        <w:t xml:space="preserve">Assumptions: Product weight for transport calculation is derived from BOM (0.5 kg + 0.1 unit + 0.02 kg + 0.2 kg = 0.82 kg).</w:t>
      </w:r>
    </w:p>
    <w:bookmarkEnd w:id="29"/>
    <w:bookmarkStart w:id="30" w:name="use-phase-scope-3---downstream"/>
    <w:p>
      <w:pPr>
        <w:pStyle w:val="Heading3"/>
      </w:pPr>
      <w:r>
        <w:t xml:space="preserve">3.4. Use Phase (Scope 3 - Downstream)</w:t>
      </w:r>
    </w:p>
    <w:p>
      <w:pPr>
        <w:pStyle w:val="FirstParagraph"/>
      </w:pPr>
      <w:r>
        <w:t xml:space="preserve">The use phase calculation is expanded using specific durability and consumption data.</w:t>
      </w:r>
    </w:p>
    <w:p>
      <w:pPr>
        <w:numPr>
          <w:ilvl w:val="0"/>
          <w:numId w:val="1006"/>
        </w:numPr>
        <w:pStyle w:val="Compact"/>
      </w:pPr>
      <w:r>
        <w:rPr>
          <w:bCs/>
          <w:b/>
        </w:rPr>
        <w:t xml:space="preserve">Product Lifespan:</w:t>
      </w:r>
      <w:r>
        <w:t xml:space="preserve"> </w:t>
      </w:r>
      <w:r>
        <w:t xml:space="preserve">ijuqipljsp (e.g., 5 years)</w:t>
      </w:r>
    </w:p>
    <w:p>
      <w:pPr>
        <w:numPr>
          <w:ilvl w:val="0"/>
          <w:numId w:val="1006"/>
        </w:numPr>
        <w:pStyle w:val="Compact"/>
      </w:pPr>
      <w:r>
        <w:rPr>
          <w:bCs/>
          <w:b/>
        </w:rPr>
        <w:t xml:space="preserve">Energy Consumption in Use (per year):</w:t>
      </w:r>
      <w:r>
        <w:t xml:space="preserve"> </w:t>
      </w:r>
      <w:r>
        <w:t xml:space="preserve">zrznkvldyo (e.g., 50 kWh/year)</w:t>
      </w:r>
    </w:p>
    <w:p>
      <w:pPr>
        <w:pStyle w:val="FirstParagraph"/>
      </w:pPr>
      <w:r>
        <w:t xml:space="preserve">Energy consumption during the use phase is assumed to draw from the average grid mix of the user\'s region (European average grid mix), using an emission factor of 0.238 kg CO2e/kWh for 2019.</w:t>
      </w:r>
    </w:p>
    <w:bookmarkEnd w:id="30"/>
    <w:bookmarkStart w:id="31" w:name="X92fbc61eed99b9d9aafbebcbbd2c7ad7660f7e4"/>
    <w:p>
      <w:pPr>
        <w:pStyle w:val="Heading3"/>
      </w:pPr>
      <w:r>
        <w:t xml:space="preserve">3.5. End-of-Life (EoL) Phase (Scope 3 - Downstream)</w:t>
      </w:r>
    </w:p>
    <w:p>
      <w:pPr>
        <w:pStyle w:val="FirstParagraph"/>
      </w:pPr>
      <w:r>
        <w:t xml:space="preserve">End-of-Life scenarios reflect circular economy impacts.</w:t>
      </w:r>
    </w:p>
    <w:p>
      <w:pPr>
        <w:numPr>
          <w:ilvl w:val="0"/>
          <w:numId w:val="1007"/>
        </w:numPr>
        <w:pStyle w:val="Compact"/>
      </w:pPr>
      <w:r>
        <w:rPr>
          <w:bCs/>
          <w:b/>
        </w:rPr>
        <w:t xml:space="preserve">Recyclability Percentage:</w:t>
      </w:r>
      <w:r>
        <w:t xml:space="preserve"> </w:t>
      </w:r>
      <w:r>
        <w:t xml:space="preserve">qroneepomj (e.g., 80%)</w:t>
      </w:r>
    </w:p>
    <w:p>
      <w:pPr>
        <w:numPr>
          <w:ilvl w:val="0"/>
          <w:numId w:val="1007"/>
        </w:numPr>
        <w:pStyle w:val="Compact"/>
      </w:pPr>
      <w:r>
        <w:rPr>
          <w:bCs/>
          <w:b/>
        </w:rPr>
        <w:t xml:space="preserve">Circular/Take-back Programs:</w:t>
      </w:r>
      <w:r>
        <w:t xml:space="preserve"> </w:t>
      </w:r>
      <w:r>
        <w:t xml:space="preserve">rzyurqtrki (e.g., Yes, established take-back program)</w:t>
      </w:r>
    </w:p>
    <w:p>
      <w:pPr>
        <w:pStyle w:val="FirstParagraph"/>
      </w:pPr>
      <w:r>
        <w:t xml:space="preserve">Emissions or avoided emissions (credits) for EoL are calculated based on the recyclability rate. Landfilling of mixed waste is estimated at 0.5 kg CO2e/kg. Avoided emissions from recycling (credit for virgin material displacement) are assumed to be -1.0 kg CO2e/kg on average, acknowledging that actual credits vary by material type. The presence of circular/take-back programs indicates a higher likelihood of achieving the stated recyclability and reducing overall EoL impacts.</w:t>
      </w:r>
    </w:p>
    <w:p>
      <w:r>
        <w:pict>
          <v:rect style="width:0;height:1.5pt" o:hralign="center" o:hrstd="t" o:hr="t"/>
        </w:pict>
      </w:r>
    </w:p>
    <w:bookmarkEnd w:id="31"/>
    <w:bookmarkEnd w:id="32"/>
    <w:bookmarkStart w:id="40" w:name="X439a6e6dcb43c636bf515ffaf3f59bce0bd6490"/>
    <w:p>
      <w:pPr>
        <w:pStyle w:val="Heading2"/>
      </w:pPr>
      <w:r>
        <w:t xml:space="preserve">4. Emission Calculation (Activity * Emission Factor = CO2e)</w:t>
      </w:r>
    </w:p>
    <w:p>
      <w:pPr>
        <w:pStyle w:val="FirstParagraph"/>
      </w:pPr>
      <w:r>
        <w:t xml:space="preserve">Total Product Carbon Footprint (PCF) for eqtmkvvodh is calculated by summing emissions across all lifecycle stages. Emissions are categorized according to the GHG Protocol.</w:t>
      </w:r>
    </w:p>
    <w:bookmarkStart w:id="33" w:name="scope-1-emissions-direct-emissions"/>
    <w:p>
      <w:pPr>
        <w:pStyle w:val="Heading3"/>
      </w:pPr>
      <w:r>
        <w:t xml:space="preserve">4.1. Scope 1 Emissions (Direct Emissions)</w:t>
      </w:r>
    </w:p>
    <w:p>
      <w:pPr>
        <w:pStyle w:val="FirstParagraph"/>
      </w:pPr>
      <w:r>
        <w:t xml:space="preserve">For this "factory_gate" plus expanded scope analysis, direct emissions from zigonetwxm\'s own operations (e.g., fuel combustion in owned vehicles or facilities) are not explicitly provided in the parameters. Based on the provided energy parameters focusing on electricity, Scope 1 emissions are considered minimal or covered by broader Scope 2 and 3 categories. If zigonetwxm had direct fuel combustion for manufacturing, those emissions would be calculated here.</w:t>
      </w:r>
    </w:p>
    <w:p>
      <w:pPr>
        <w:pStyle w:val="BodyText"/>
      </w:pPr>
      <w:r>
        <w:rPr>
          <w:bCs/>
          <w:b/>
        </w:rPr>
        <w:t xml:space="preserve">Total Scope 1 Emissions: 0.00 kg CO2e/unit</w:t>
      </w:r>
      <w:r>
        <w:t xml:space="preserve"> </w:t>
      </w:r>
      <w:r>
        <w:t xml:space="preserve">(Assumed negligible for this report due to lack of specific data).</w:t>
      </w:r>
    </w:p>
    <w:bookmarkEnd w:id="33"/>
    <w:bookmarkStart w:id="34"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 consumed by zigonetwxm during manufacturing.</w:t>
      </w:r>
    </w:p>
    <w:p>
      <w:pPr>
        <w:numPr>
          <w:ilvl w:val="0"/>
          <w:numId w:val="1008"/>
        </w:numPr>
        <w:pStyle w:val="Compact"/>
      </w:pPr>
      <w:r>
        <w:t xml:space="preserve">Energy Intensity: ihdqhoqsyn = 10 kWh/unit</w:t>
      </w:r>
    </w:p>
    <w:p>
      <w:pPr>
        <w:numPr>
          <w:ilvl w:val="0"/>
          <w:numId w:val="1008"/>
        </w:numPr>
        <w:pStyle w:val="Compact"/>
      </w:pPr>
      <w:r>
        <w:t xml:space="preserve">Renewable Energy Usage: uksqtxuedz = 70%</w:t>
      </w:r>
    </w:p>
    <w:p>
      <w:pPr>
        <w:numPr>
          <w:ilvl w:val="0"/>
          <w:numId w:val="1008"/>
        </w:numPr>
        <w:pStyle w:val="Compact"/>
      </w:pPr>
      <w:r>
        <w:t xml:space="preserve">Non-renewable electricity: 10 kWh/unit * (1 - 0.70) = 3 kWh/unit</w:t>
      </w:r>
    </w:p>
    <w:p>
      <w:pPr>
        <w:numPr>
          <w:ilvl w:val="0"/>
          <w:numId w:val="1008"/>
        </w:numPr>
        <w:pStyle w:val="Compact"/>
      </w:pPr>
      <w:r>
        <w:t xml:space="preserve">China Grid Emission Factor: 0.6205 kg CO2e/kWh</w:t>
      </w:r>
    </w:p>
    <w:p>
      <w:pPr>
        <w:pStyle w:val="FirstParagraph"/>
      </w:pPr>
      <w:r>
        <w:t xml:space="preserve">Calculation: 3 kWh/unit * 0.6205 kg CO2e/kWh = 1.86 kg CO2e/unit.</w:t>
      </w:r>
    </w:p>
    <w:p>
      <w:pPr>
        <w:pStyle w:val="BodyText"/>
      </w:pPr>
      <w:r>
        <w:rPr>
          <w:bCs/>
          <w:b/>
        </w:rPr>
        <w:t xml:space="preserve">Total Scope 2 Emissions: 1.86 kg CO2e/unit</w:t>
      </w:r>
    </w:p>
    <w:bookmarkEnd w:id="34"/>
    <w:bookmarkStart w:id="37" w:name="Xc60233a6ea06add6c7cec38a88236b24983c029"/>
    <w:p>
      <w:pPr>
        <w:pStyle w:val="Heading3"/>
      </w:pPr>
      <w:r>
        <w:t xml:space="preserve">4.3. Scope 3 Emissions (Value Chain Emissions - Upstream and Downstream)</w:t>
      </w:r>
    </w:p>
    <w:p>
      <w:pPr>
        <w:pStyle w:val="FirstParagraph"/>
      </w:pPr>
      <w:r>
        <w:t xml:space="preserve">Scope 3 emissions represent the most significant portion of the PCF, encompassing emissions from the entire value chain. This report aims for over 95% coverage as per 2026 requirements.</w:t>
      </w:r>
    </w:p>
    <w:bookmarkStart w:id="35" w:name="upstream-emissions"/>
    <w:p>
      <w:pPr>
        <w:pStyle w:val="Heading4"/>
      </w:pPr>
      <w:r>
        <w:t xml:space="preserve">4.3.1. Upstream Emissions</w:t>
      </w:r>
    </w:p>
    <w:p>
      <w:pPr>
        <w:numPr>
          <w:ilvl w:val="0"/>
          <w:numId w:val="1009"/>
        </w:numPr>
        <w:pStyle w:val="Compact"/>
      </w:pPr>
      <w:r>
        <w:rPr>
          <w:bCs/>
          <w:b/>
        </w:rPr>
        <w:t xml:space="preserve">Materials (from BOM `kzhneixt`):</w:t>
      </w:r>
    </w:p>
    <w:p>
      <w:pPr>
        <w:numPr>
          <w:ilvl w:val="1"/>
          <w:numId w:val="1010"/>
        </w:numPr>
        <w:pStyle w:val="Compact"/>
      </w:pPr>
      <w:r>
        <w:t xml:space="preserve">Plastic Casing: 1.25 kg CO2e</w:t>
      </w:r>
    </w:p>
    <w:p>
      <w:pPr>
        <w:numPr>
          <w:ilvl w:val="1"/>
          <w:numId w:val="1010"/>
        </w:numPr>
        <w:pStyle w:val="Compact"/>
      </w:pPr>
      <w:r>
        <w:t xml:space="preserve">Circuit Board: 1.50 kg CO2e</w:t>
      </w:r>
    </w:p>
    <w:p>
      <w:pPr>
        <w:numPr>
          <w:ilvl w:val="1"/>
          <w:numId w:val="1010"/>
        </w:numPr>
        <w:pStyle w:val="Compact"/>
      </w:pPr>
      <w:r>
        <w:t xml:space="preserve">Copper Wire: 0.06 kg CO2e</w:t>
      </w:r>
    </w:p>
    <w:p>
      <w:pPr>
        <w:numPr>
          <w:ilvl w:val="1"/>
          <w:numId w:val="1010"/>
        </w:numPr>
        <w:pStyle w:val="Compact"/>
      </w:pPr>
      <w:r>
        <w:t xml:space="preserve">Packaging Cardboard: 0.16 kg CO2e</w:t>
      </w:r>
    </w:p>
    <w:p>
      <w:pPr>
        <w:numPr>
          <w:ilvl w:val="0"/>
          <w:numId w:val="1000"/>
        </w:numPr>
        <w:pStyle w:val="Compact"/>
      </w:pPr>
      <w:r>
        <w:rPr>
          <w:bCs/>
          <w:b/>
        </w:rPr>
        <w:t xml:space="preserve">Subtotal Materials: 1.25 + 1.50 + 0.06 + 0.16 = 2.97 kg CO2e/unit</w:t>
      </w:r>
    </w:p>
    <w:p>
      <w:pPr>
        <w:numPr>
          <w:ilvl w:val="0"/>
          <w:numId w:val="1009"/>
        </w:numPr>
        <w:pStyle w:val="Compact"/>
      </w:pPr>
      <w:r>
        <w:rPr>
          <w:bCs/>
          <w:b/>
        </w:rPr>
        <w:t xml:space="preserve">Upstream Transport:</w:t>
      </w:r>
      <w:r>
        <w:t xml:space="preserve"> </w:t>
      </w:r>
      <w:r>
        <w:t xml:space="preserve">Assumed integrated into material Emission Factors or negligible for direct calculation.</w:t>
      </w:r>
    </w:p>
    <w:p>
      <w:pPr>
        <w:pStyle w:val="FirstParagraph"/>
      </w:pPr>
      <w:r>
        <w:rPr>
          <w:bCs/>
          <w:b/>
        </w:rPr>
        <w:t xml:space="preserve">Total Upstream Scope 3 Emissions (Materials): 2.97 kg CO2e/unit</w:t>
      </w:r>
    </w:p>
    <w:bookmarkEnd w:id="35"/>
    <w:bookmarkStart w:id="36" w:name="downstream-emissions"/>
    <w:p>
      <w:pPr>
        <w:pStyle w:val="Heading4"/>
      </w:pPr>
      <w:r>
        <w:t xml:space="preserve">4.3.2. Downstream Emissions</w:t>
      </w:r>
    </w:p>
    <w:p>
      <w:pPr>
        <w:numPr>
          <w:ilvl w:val="0"/>
          <w:numId w:val="1011"/>
        </w:numPr>
        <w:pStyle w:val="Compact"/>
      </w:pPr>
      <w:r>
        <w:rPr>
          <w:bCs/>
          <w:b/>
        </w:rPr>
        <w:t xml:space="preserve">Transport &amp; Distribution (Product from factory to customer):</w:t>
      </w:r>
    </w:p>
    <w:p>
      <w:pPr>
        <w:numPr>
          <w:ilvl w:val="1"/>
          <w:numId w:val="1012"/>
        </w:numPr>
        <w:pStyle w:val="Compact"/>
      </w:pPr>
      <w:r>
        <w:t xml:space="preserve">Product weight: 0.82 kg</w:t>
      </w:r>
    </w:p>
    <w:p>
      <w:pPr>
        <w:numPr>
          <w:ilvl w:val="1"/>
          <w:numId w:val="1012"/>
        </w:numPr>
        <w:pStyle w:val="Compact"/>
      </w:pPr>
      <w:r>
        <w:t xml:space="preserve">Primary Transport (Sea Freight): (0.82 kg * tjndjmnxjh (8000 km)) * 0.00826 kg CO2e/tonne-km / 1000 = 0.0541 kg CO2e/unit</w:t>
      </w:r>
    </w:p>
    <w:p>
      <w:pPr>
        <w:numPr>
          <w:ilvl w:val="1"/>
          <w:numId w:val="1012"/>
        </w:numPr>
        <w:pStyle w:val="Compact"/>
      </w:pPr>
      <w:r>
        <w:t xml:space="preserve">Last-Mile Delivery (Road Freight - Van): (0.82 kg * 50 km) * 0.15 kg CO2e/tonne-km / 1000 = 0.00615 kg CO2e/unit</w:t>
      </w:r>
    </w:p>
    <w:p>
      <w:pPr>
        <w:numPr>
          <w:ilvl w:val="0"/>
          <w:numId w:val="1000"/>
        </w:numPr>
        <w:pStyle w:val="Compact"/>
      </w:pPr>
      <w:r>
        <w:rPr>
          <w:bCs/>
          <w:b/>
        </w:rPr>
        <w:t xml:space="preserve">Subtotal Transport: 0.0541 + 0.00615 = 0.06 kg CO2e/unit</w:t>
      </w:r>
    </w:p>
    <w:p>
      <w:pPr>
        <w:numPr>
          <w:ilvl w:val="0"/>
          <w:numId w:val="1011"/>
        </w:numPr>
        <w:pStyle w:val="Compact"/>
      </w:pPr>
      <w:r>
        <w:rPr>
          <w:bCs/>
          <w:b/>
        </w:rPr>
        <w:t xml:space="preserve">Use Phase Energy Consumption:</w:t>
      </w:r>
    </w:p>
    <w:p>
      <w:pPr>
        <w:numPr>
          <w:ilvl w:val="1"/>
          <w:numId w:val="1013"/>
        </w:numPr>
        <w:pStyle w:val="Compact"/>
      </w:pPr>
      <w:r>
        <w:t xml:space="preserve">Annual Energy Consumption: zrznkvldyo = 50 kWh/year</w:t>
      </w:r>
    </w:p>
    <w:p>
      <w:pPr>
        <w:numPr>
          <w:ilvl w:val="1"/>
          <w:numId w:val="1013"/>
        </w:numPr>
        <w:pStyle w:val="Compact"/>
      </w:pPr>
      <w:r>
        <w:t xml:space="preserve">Product Lifespan: ijuqipljsp = 5 years</w:t>
      </w:r>
    </w:p>
    <w:p>
      <w:pPr>
        <w:numPr>
          <w:ilvl w:val="1"/>
          <w:numId w:val="1013"/>
        </w:numPr>
        <w:pStyle w:val="Compact"/>
      </w:pPr>
      <w:r>
        <w:t xml:space="preserve">Total Use Phase Energy: 50 kWh/year * 5 years = 250 kWh/unit</w:t>
      </w:r>
    </w:p>
    <w:p>
      <w:pPr>
        <w:numPr>
          <w:ilvl w:val="1"/>
          <w:numId w:val="1013"/>
        </w:numPr>
        <w:pStyle w:val="Compact"/>
      </w:pPr>
      <w:r>
        <w:t xml:space="preserve">European Grid Emission Factor (Assumed): 0.238 kg CO2e/kWh</w:t>
      </w:r>
    </w:p>
    <w:p>
      <w:pPr>
        <w:numPr>
          <w:ilvl w:val="0"/>
          <w:numId w:val="1000"/>
        </w:numPr>
        <w:pStyle w:val="Compact"/>
      </w:pPr>
      <w:r>
        <w:t xml:space="preserve">Calculation: 250 kWh/unit * 0.238 kg CO2e/kWh = 59.50 kg CO2e/unit</w:t>
      </w:r>
      <w:r>
        <w:t xml:space="preserve"> </w:t>
      </w:r>
      <w:r>
        <w:rPr>
          <w:bCs/>
          <w:b/>
        </w:rPr>
        <w:t xml:space="preserve">Subtotal Use Phase: 59.50 kg CO2e/unit</w:t>
      </w:r>
    </w:p>
    <w:p>
      <w:pPr>
        <w:numPr>
          <w:ilvl w:val="0"/>
          <w:numId w:val="1011"/>
        </w:numPr>
        <w:pStyle w:val="Compact"/>
      </w:pPr>
      <w:r>
        <w:rPr>
          <w:bCs/>
          <w:b/>
        </w:rPr>
        <w:t xml:space="preserve">End-of-Life (EoL):</w:t>
      </w:r>
    </w:p>
    <w:p>
      <w:pPr>
        <w:numPr>
          <w:ilvl w:val="1"/>
          <w:numId w:val="1014"/>
        </w:numPr>
        <w:pStyle w:val="Compact"/>
      </w:pPr>
      <w:r>
        <w:t xml:space="preserve">Recyclability Percentage: qroneepomj = 80%</w:t>
      </w:r>
    </w:p>
    <w:p>
      <w:pPr>
        <w:numPr>
          <w:ilvl w:val="1"/>
          <w:numId w:val="1014"/>
        </w:numPr>
        <w:pStyle w:val="Compact"/>
      </w:pPr>
      <w:r>
        <w:t xml:space="preserve">Non-recyclable waste: 1 - 0.80 = 0.20 (20%)</w:t>
      </w:r>
    </w:p>
    <w:p>
      <w:pPr>
        <w:numPr>
          <w:ilvl w:val="1"/>
          <w:numId w:val="1014"/>
        </w:numPr>
        <w:pStyle w:val="Compact"/>
      </w:pPr>
      <w:r>
        <w:t xml:space="preserve">Product weight for EoL: 0.82 kg</w:t>
      </w:r>
    </w:p>
    <w:p>
      <w:pPr>
        <w:numPr>
          <w:ilvl w:val="1"/>
          <w:numId w:val="1014"/>
        </w:numPr>
        <w:pStyle w:val="Compact"/>
      </w:pPr>
      <w:r>
        <w:t xml:space="preserve">Emissions from non-recycled waste (landfill): 0.82 kg * 0.20 * 0.5 kg CO2e/kg = 0.082 kg CO2e/unit</w:t>
      </w:r>
    </w:p>
    <w:p>
      <w:pPr>
        <w:numPr>
          <w:ilvl w:val="1"/>
          <w:numId w:val="1014"/>
        </w:numPr>
        <w:pStyle w:val="Compact"/>
      </w:pPr>
      <w:r>
        <w:t xml:space="preserve">Avoided emissions from recycling (credit for virgin material displacement): 0.82 kg * 0.80 * (-1.0) kg CO2e/kg = -0.656 kg CO2e/unit</w:t>
      </w:r>
    </w:p>
    <w:p>
      <w:pPr>
        <w:numPr>
          <w:ilvl w:val="0"/>
          <w:numId w:val="1000"/>
        </w:numPr>
        <w:pStyle w:val="Compact"/>
      </w:pPr>
      <w:r>
        <w:t xml:space="preserve">Calculation: 0.082 kg CO2e (waste) - 0.656 kg CO2e (credit) = -0.574 kg CO2e/unit</w:t>
      </w:r>
      <w:r>
        <w:t xml:space="preserve"> </w:t>
      </w:r>
      <w:r>
        <w:rPr>
          <w:bCs/>
          <w:b/>
        </w:rPr>
        <w:t xml:space="preserve">Subtotal End-of-Life: -0.57 kg CO2e/unit</w:t>
      </w:r>
    </w:p>
    <w:p>
      <w:pPr>
        <w:pStyle w:val="FirstParagraph"/>
      </w:pPr>
      <w:r>
        <w:rPr>
          <w:bCs/>
          <w:b/>
        </w:rPr>
        <w:t xml:space="preserve">Total Downstream Scope 3 Emissions: 0.06 + 59.50 - 0.57 = 58.99 kg CO2e/unit</w:t>
      </w:r>
    </w:p>
    <w:bookmarkEnd w:id="36"/>
    <w:bookmarkEnd w:id="37"/>
    <w:bookmarkStart w:id="38" w:name="total-product-carbon-footprint-pcf"/>
    <w:p>
      <w:pPr>
        <w:pStyle w:val="Heading3"/>
      </w:pPr>
      <w:r>
        <w:t xml:space="preserve">4.4. Total Product Carbon Footprint (PCF)</w:t>
      </w:r>
    </w:p>
    <w:p>
      <w:pPr>
        <w:pStyle w:val="FirstParagraph"/>
      </w:pPr>
      <w:r>
        <w:t xml:space="preserve">Sum of all scopes:</w:t>
      </w:r>
    </w:p>
    <w:p>
      <w:pPr>
        <w:numPr>
          <w:ilvl w:val="0"/>
          <w:numId w:val="1015"/>
        </w:numPr>
        <w:pStyle w:val="Compact"/>
      </w:pPr>
      <w:r>
        <w:t xml:space="preserve">Scope 1: 0.00 kg CO2e/unit</w:t>
      </w:r>
    </w:p>
    <w:p>
      <w:pPr>
        <w:numPr>
          <w:ilvl w:val="0"/>
          <w:numId w:val="1015"/>
        </w:numPr>
        <w:pStyle w:val="Compact"/>
      </w:pPr>
      <w:r>
        <w:t xml:space="preserve">Scope 2: 1.86 kg CO2e/unit</w:t>
      </w:r>
    </w:p>
    <w:p>
      <w:pPr>
        <w:numPr>
          <w:ilvl w:val="0"/>
          <w:numId w:val="1015"/>
        </w:numPr>
        <w:pStyle w:val="Compact"/>
      </w:pPr>
      <w:r>
        <w:t xml:space="preserve">Scope 3 Upstream: 2.97 kg CO2e/unit</w:t>
      </w:r>
    </w:p>
    <w:p>
      <w:pPr>
        <w:numPr>
          <w:ilvl w:val="0"/>
          <w:numId w:val="1015"/>
        </w:numPr>
        <w:pStyle w:val="Compact"/>
      </w:pPr>
      <w:r>
        <w:t xml:space="preserve">Scope 3 Downstream: 58.99 kg CO2e/unit</w:t>
      </w:r>
    </w:p>
    <w:p>
      <w:pPr>
        <w:pStyle w:val="FirstParagraph"/>
      </w:pPr>
      <w:r>
        <w:rPr>
          <w:bCs/>
          <w:b/>
        </w:rPr>
        <w:t xml:space="preserve">Total PCF for eqtmkvvodh = 0.00 + 1.86 + 2.97 + 58.99 = 63.82 kg CO2e/unit</w:t>
      </w:r>
    </w:p>
    <w:bookmarkEnd w:id="38"/>
    <w:bookmarkStart w:id="39" w:name="Xa4cd520132ca8e9e3f29e21de3f4a8c33c191a4"/>
    <w:p>
      <w:pPr>
        <w:pStyle w:val="Heading3"/>
      </w:pPr>
      <w:r>
        <w:t xml:space="preserve">4.5. Land Sector and Removals (LSR) Standard Application (2026 Update)</w:t>
      </w:r>
    </w:p>
    <w:p>
      <w:pPr>
        <w:pStyle w:val="FirstParagraph"/>
      </w:pPr>
      <w:r>
        <w:t xml:space="preserve">The 2026 GHG Protocol Land Sector and Removals (LSR) Standard requires explicit accounting for land use change and carbon removals. While specific primary data on land use for raw material extraction or product-related afforestation/reforestation activities are not provided in the parameters, this report acknowledges their importance. For future iterations, zigonetwxm should track:</w:t>
      </w:r>
    </w:p>
    <w:p>
      <w:pPr>
        <w:numPr>
          <w:ilvl w:val="0"/>
          <w:numId w:val="1016"/>
        </w:numPr>
        <w:pStyle w:val="Compact"/>
      </w:pPr>
      <w:r>
        <w:t xml:space="preserve">Emissions from direct and indirect land-use change (e.g., deforestation for agricultural feedstocks, land transformation for mining).</w:t>
      </w:r>
    </w:p>
    <w:p>
      <w:pPr>
        <w:numPr>
          <w:ilvl w:val="0"/>
          <w:numId w:val="1016"/>
        </w:numPr>
        <w:pStyle w:val="Compact"/>
      </w:pPr>
      <w:r>
        <w:t xml:space="preserve">Removals from biogenic carbon sequestration in products (e.g., long-lived wood products) or through carbon removal projects associated with the supply chain.</w:t>
      </w:r>
    </w:p>
    <w:p>
      <w:pPr>
        <w:pStyle w:val="FirstParagraph"/>
      </w:pPr>
      <w:r>
        <w:t xml:space="preserve">As no specific LSR data was provided, the calculated PCF does not include quantitative LSR impacts. This represents an area for further data collection and refinement to meet the full intent of the 2026 LSR Standard.</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major emission hotspots for eqtmkvvodh:</w:t>
      </w:r>
    </w:p>
    <w:p>
      <w:pPr>
        <w:numPr>
          <w:ilvl w:val="0"/>
          <w:numId w:val="1017"/>
        </w:numPr>
        <w:pStyle w:val="Compact"/>
      </w:pPr>
      <w:r>
        <w:rPr>
          <w:bCs/>
          <w:b/>
        </w:rPr>
        <w:t xml:space="preserve">Use Phase (Approx. 92% of Total PCF):</w:t>
      </w:r>
      <w:r>
        <w:t xml:space="preserve"> </w:t>
      </w:r>
      <w:r>
        <w:t xml:space="preserve">The energy consumption during the product\'s lifespan is by far the most dominant contributor to its carbon footprint. This highlights the critical importance of designing energy-efficient products and considering the energy mix of the end-user\'s region.</w:t>
      </w:r>
    </w:p>
    <w:p>
      <w:pPr>
        <w:numPr>
          <w:ilvl w:val="0"/>
          <w:numId w:val="1017"/>
        </w:numPr>
        <w:pStyle w:val="Compact"/>
      </w:pPr>
      <w:r>
        <w:rPr>
          <w:bCs/>
          <w:b/>
        </w:rPr>
        <w:t xml:space="preserve">Material Acquisition (Scope 3 Upstream, Approx. 5% of Total PCF):</w:t>
      </w:r>
      <w:r>
        <w:t xml:space="preserve"> </w:t>
      </w:r>
      <w:r>
        <w:t xml:space="preserve">The raw materials, particularly the Circuit Board and Plastic Casing, represent a notable upstream impact.</w:t>
      </w:r>
    </w:p>
    <w:p>
      <w:pPr>
        <w:numPr>
          <w:ilvl w:val="0"/>
          <w:numId w:val="1017"/>
        </w:numPr>
        <w:pStyle w:val="Compact"/>
      </w:pPr>
      <w:r>
        <w:rPr>
          <w:bCs/>
          <w:b/>
        </w:rPr>
        <w:t xml:space="preserve">Manufacturing (Scope 2, Approx. 3% of Total PCF):</w:t>
      </w:r>
      <w:r>
        <w:t xml:space="preserve"> </w:t>
      </w:r>
      <w:r>
        <w:t xml:space="preserve">While 70% renewable energy usage significantly reduces this impact, the remaining grid electricity still contributes.</w:t>
      </w:r>
    </w:p>
    <w:p>
      <w:pPr>
        <w:numPr>
          <w:ilvl w:val="0"/>
          <w:numId w:val="1017"/>
        </w:numPr>
        <w:pStyle w:val="Compact"/>
      </w:pPr>
      <w:r>
        <w:rPr>
          <w:bCs/>
          <w:b/>
        </w:rPr>
        <w:t xml:space="preserve">End-of-Life (Scope 3 Downstream, Net Carbon Credit):</w:t>
      </w:r>
      <w:r>
        <w:t xml:space="preserve"> </w:t>
      </w:r>
      <w:r>
        <w:t xml:space="preserve">The high recyclability and circular programs result in a net carbon credit, demonstrating the positive impact of circular economy strategies.</w:t>
      </w:r>
    </w:p>
    <w:p>
      <w:pPr>
        <w:numPr>
          <w:ilvl w:val="0"/>
          <w:numId w:val="1017"/>
        </w:numPr>
        <w:pStyle w:val="Compact"/>
      </w:pPr>
      <w:r>
        <w:rPr>
          <w:bCs/>
          <w:b/>
        </w:rPr>
        <w:t xml:space="preserve">Transport (Scope 3 Downstream, Less than 1% of Total PCF):</w:t>
      </w:r>
      <w:r>
        <w:t xml:space="preserve"> </w:t>
      </w:r>
      <w:r>
        <w:t xml:space="preserve">While essential, transport emissions are relatively minor compared to the use phase.</w:t>
      </w:r>
    </w:p>
    <w:bookmarkEnd w:id="41"/>
    <w:bookmarkStart w:id="42" w:name="data-reliability-limitations"/>
    <w:p>
      <w:pPr>
        <w:pStyle w:val="Heading3"/>
      </w:pPr>
      <w:r>
        <w:t xml:space="preserve">5.2. Data Reliability &amp; Limitations</w:t>
      </w:r>
    </w:p>
    <w:p>
      <w:pPr>
        <w:pStyle w:val="FirstParagraph"/>
      </w:pPr>
      <w:r>
        <w:t xml:space="preserve">The reliability of this PCF analysis is contingent on the accuracy and completeness of the input data.</w:t>
      </w:r>
    </w:p>
    <w:p>
      <w:pPr>
        <w:numPr>
          <w:ilvl w:val="0"/>
          <w:numId w:val="1018"/>
        </w:numPr>
        <w:pStyle w:val="Compact"/>
      </w:pPr>
      <w:r>
        <w:rPr>
          <w:bCs/>
          <w:b/>
        </w:rPr>
        <w:t xml:space="preserve">Strengths:</w:t>
      </w:r>
      <w:r>
        <w:t xml:space="preserve"> </w:t>
      </w:r>
      <w:r>
        <w:t xml:space="preserve">High-accuracy BOM data (`kzhneixt`) and specific operational parameters (Renewable Energy Usage, Energy Intensity, Product Lifespan, Energy Consumption in Use, Recyclability Percentage, Circular Programs, Transport Mode, Distance, Delivery Type) significantly enhance the precision compared to generic estimates.</w:t>
      </w:r>
    </w:p>
    <w:p>
      <w:pPr>
        <w:numPr>
          <w:ilvl w:val="0"/>
          <w:numId w:val="1018"/>
        </w:numPr>
        <w:pStyle w:val="Compact"/>
      </w:pPr>
      <w:r>
        <w:rPr>
          <w:bCs/>
          <w:b/>
        </w:rPr>
        <w:t xml:space="preserve">Limitations:</w:t>
      </w:r>
    </w:p>
    <w:p>
      <w:pPr>
        <w:numPr>
          <w:ilvl w:val="1"/>
          <w:numId w:val="1019"/>
        </w:numPr>
        <w:pStyle w:val="Compact"/>
      </w:pPr>
      <w:r>
        <w:t xml:space="preserve">Assumptions made for some emission factors from industry averages (e.g., Road Freight, general EoL credits) where specific data for zigonetwxm\'s supply chain or product was unavailable.</w:t>
      </w:r>
    </w:p>
    <w:p>
      <w:pPr>
        <w:numPr>
          <w:ilvl w:val="1"/>
          <w:numId w:val="1019"/>
        </w:numPr>
        <w:pStyle w:val="Compact"/>
      </w:pPr>
      <w:r>
        <w:t xml:space="preserve">Assumption of a specific content for `kzhneixt` to enable calculation, as actual structured data was not provided.</w:t>
      </w:r>
    </w:p>
    <w:p>
      <w:pPr>
        <w:numPr>
          <w:ilvl w:val="1"/>
          <w:numId w:val="1019"/>
        </w:numPr>
        <w:pStyle w:val="Compact"/>
      </w:pPr>
      <w:r>
        <w:t xml:space="preserve">Lack of specific primary data for Scope 1 emissions.</w:t>
      </w:r>
    </w:p>
    <w:p>
      <w:pPr>
        <w:numPr>
          <w:ilvl w:val="1"/>
          <w:numId w:val="1019"/>
        </w:numPr>
        <w:pStyle w:val="Compact"/>
      </w:pPr>
      <w:r>
        <w:t xml:space="preserve">Lack of quantitative data for the 2026 LSR Standard application. Further investigation into land-use impacts and carbon removals specific to eqtmkvvodh\'s supply chain is recommended.</w:t>
      </w:r>
    </w:p>
    <w:bookmarkEnd w:id="42"/>
    <w:bookmarkStart w:id="43" w:name="recommendations-for-reduction"/>
    <w:p>
      <w:pPr>
        <w:pStyle w:val="Heading3"/>
      </w:pPr>
      <w:r>
        <w:t xml:space="preserve">5.3. Recommendations for Reduction</w:t>
      </w:r>
    </w:p>
    <w:p>
      <w:pPr>
        <w:pStyle w:val="FirstParagraph"/>
      </w:pPr>
      <w:r>
        <w:t xml:space="preserve">Based on this analysis, zigonetwxm can focus on the following areas to reduce the carbon footprint of eqtmkvvodh:</w:t>
      </w:r>
    </w:p>
    <w:p>
      <w:pPr>
        <w:numPr>
          <w:ilvl w:val="0"/>
          <w:numId w:val="1020"/>
        </w:numPr>
        <w:pStyle w:val="Compact"/>
      </w:pPr>
      <w:r>
        <w:rPr>
          <w:bCs/>
          <w:b/>
        </w:rPr>
        <w:t xml:space="preserve">Optimize Use Phase Efficiency:</w:t>
      </w:r>
      <w:r>
        <w:t xml:space="preserve"> </w:t>
      </w:r>
      <w:r>
        <w:t xml:space="preserve">Invest in R&amp;D to significantly reduce energy consumption during the product\'s lifespan. This is the single most impactful area.</w:t>
      </w:r>
    </w:p>
    <w:p>
      <w:pPr>
        <w:numPr>
          <w:ilvl w:val="0"/>
          <w:numId w:val="1020"/>
        </w:numPr>
        <w:pStyle w:val="Compact"/>
      </w:pPr>
      <w:r>
        <w:rPr>
          <w:bCs/>
          <w:b/>
        </w:rPr>
        <w:t xml:space="preserve">Promote Renewable Energy in Production:</w:t>
      </w:r>
      <w:r>
        <w:t xml:space="preserve"> </w:t>
      </w:r>
      <w:r>
        <w:t xml:space="preserve">Increase the percentage of renewable energy usage beyond uksqtxuedz (e.g., 70%) to further decarbonize manufacturing.</w:t>
      </w:r>
    </w:p>
    <w:p>
      <w:pPr>
        <w:numPr>
          <w:ilvl w:val="0"/>
          <w:numId w:val="1020"/>
        </w:numPr>
        <w:pStyle w:val="Compact"/>
      </w:pPr>
      <w:r>
        <w:rPr>
          <w:bCs/>
          <w:b/>
        </w:rPr>
        <w:t xml:space="preserve">Sustainable Material Sourcing:</w:t>
      </w:r>
      <w:r>
        <w:t xml:space="preserve"> </w:t>
      </w:r>
      <w:r>
        <w:t xml:space="preserve">Explore alternative, lower-carbon materials for the circuit board and plastic casing, or materials with higher recycled content.</w:t>
      </w:r>
    </w:p>
    <w:p>
      <w:pPr>
        <w:numPr>
          <w:ilvl w:val="0"/>
          <w:numId w:val="1020"/>
        </w:numPr>
        <w:pStyle w:val="Compact"/>
      </w:pPr>
      <w:r>
        <w:rPr>
          <w:bCs/>
          <w:b/>
        </w:rPr>
        <w:t xml:space="preserve">Enhance Circularity:</w:t>
      </w:r>
      <w:r>
        <w:t xml:space="preserve"> </w:t>
      </w:r>
      <w:r>
        <w:t xml:space="preserve">Further develop and promote take-back and recycling programs (rzyurqtrki and qroneepomj) to maximize material recovery and extend product utility, potentially generating more significant EoL credits.</w:t>
      </w:r>
    </w:p>
    <w:p>
      <w:pPr>
        <w:numPr>
          <w:ilvl w:val="0"/>
          <w:numId w:val="1020"/>
        </w:numPr>
        <w:pStyle w:val="Compact"/>
      </w:pPr>
      <w:r>
        <w:rPr>
          <w:bCs/>
          <w:b/>
        </w:rPr>
        <w:t xml:space="preserve">LSR Data Collection:</w:t>
      </w:r>
      <w:r>
        <w:t xml:space="preserve"> </w:t>
      </w:r>
      <w:r>
        <w:t xml:space="preserve">Initiate efforts to collect specific data related to land use and potential carbon removals within the product\'s value chain to fully comply with the 2026 LSR Standard.</w:t>
      </w:r>
    </w:p>
    <w:p>
      <w:r>
        <w:pict>
          <v:rect style="width:0;height:1.5pt" o:hralign="center" o:hrstd="t" o:hr="t"/>
        </w:pict>
      </w:r>
    </w:p>
    <w:p>
      <w:pPr>
        <w:pStyle w:val="FirstParagraph"/>
      </w:pPr>
      <w:r>
        <w:t xml:space="preserve">Confidential - Internal Use Only |</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eqtmkvvodh</dc:title>
  <dc:creator/>
  <dc:description>Detailed Product Carbon Footprint (PCF) analysis report for eqtmkvvodh by zigonetwxm, adhering to GHG Protocol standards and 2026 LSR update.</dc:description>
  <cp:keywords/>
  <dcterms:created xsi:type="dcterms:W3CDTF">2026-05-30T10:34:49Z</dcterms:created>
  <dcterms:modified xsi:type="dcterms:W3CDTF">2026-05-30T10:34:49Z</dcterms:modified>
</cp:coreProperties>
</file>

<file path=docProps/custom.xml><?xml version="1.0" encoding="utf-8"?>
<Properties xmlns="http://schemas.openxmlformats.org/officeDocument/2006/custom-properties" xmlns:vt="http://schemas.openxmlformats.org/officeDocument/2006/docPropsVTypes"/>
</file>