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eqrdsghguq</w:t>
      </w:r>
    </w:p>
    <w:p>
      <w:pPr>
        <w:pStyle w:val="FirstParagraph"/>
      </w:pPr>
      <w:r>
        <w:t xml:space="preserve">carboncalcpcf.com</w:t>
      </w:r>
    </w:p>
    <w:bookmarkStart w:id="20" w:name="X5945c94a42af0a4c58e7227cf46b47d99b0bf21"/>
    <w:p>
      <w:pPr>
        <w:pStyle w:val="Heading1"/>
      </w:pPr>
      <w:r>
        <w:t xml:space="preserve">Product Carbon Footprint (PCF) Analysis Report for eqrdsghguq</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jueqpjjeor</w:t>
      </w:r>
    </w:p>
    <w:p>
      <w:pPr>
        <w:pStyle w:val="BodyText"/>
      </w:pPr>
      <w:r>
        <w:rPr>
          <w:bCs/>
          <w:b/>
        </w:rPr>
        <w:t xml:space="preserve">Senior Sustainability Consultant:</w:t>
      </w:r>
      <w:r>
        <w:t xml:space="preserve"> </w:t>
      </w:r>
      <w:r>
        <w:t xml:space="preserve">retqdqogem</w:t>
      </w:r>
    </w:p>
    <w:p>
      <w:pPr>
        <w:pStyle w:val="BodyText"/>
      </w:pPr>
      <w:r>
        <w:t xml:space="preserve">This report is generated based on available data and industry standards. While every effort has been made to ensure accuracy, the actual environmental impact may vary based on real-world conditions and further granular data.</w:t>
      </w:r>
    </w:p>
    <w:bookmarkEnd w:id="20"/>
    <w:bookmarkStart w:id="21" w:name="X7a5114bc607d9c231fa8d712627250bdbb86528"/>
    <w:p>
      <w:pPr>
        <w:pStyle w:val="Heading1"/>
      </w:pPr>
      <w:r>
        <w:t xml:space="preserve">Product Carbon Footprint (PCF) Analysis Report for eqrdsghguq</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retqdqogem</w:t>
      </w:r>
    </w:p>
    <w:p>
      <w:pPr>
        <w:pStyle w:val="BodyText"/>
      </w:pPr>
      <w:r>
        <w:rPr>
          <w:bCs/>
          <w:b/>
        </w:rPr>
        <w:t xml:space="preserve">Company:</w:t>
      </w:r>
      <w:r>
        <w:t xml:space="preserve"> </w:t>
      </w:r>
      <w:r>
        <w:t xml:space="preserve">jueqpjjeor</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"eqrdsghguq" manufactured by jueqpjjeor. The assessment follows the Greenhouse Gas (GHG) Protocol standards, encompassing a comprehensive cradle-to-grave perspective to identify key emission hotspots across the product\'s lifecycle. As Senior Sustainability Consultant, retqdqogem has performed this analysis, incorporating specific data inputs for materials, manufacturing, transport, use, and end-of-life phases. The total estimated carbon footprint for 1.0 unit of eqrdsghguq is</w:t>
      </w:r>
      <w:r>
        <w:t xml:space="preserve"> </w:t>
      </w:r>
      <w:r>
        <w:rPr>
          <w:bCs/>
          <w:b/>
        </w:rPr>
        <w:t xml:space="preserve">26.95 kg CO2e</w:t>
      </w:r>
      <w:r>
        <w:t xml:space="preserve">. The primary emission hotspots identified are the Use Phase, followed by Materials Acquisition and Manufacturing.</w:t>
      </w:r>
    </w:p>
    <w:bookmarkEnd w:id="22"/>
    <w:p>
      <w:r>
        <w:pict>
          <v:rect style="width:0;height:1.5pt" o:hralign="center" o:hrstd="t" o:hr="t"/>
        </w:pict>
      </w:r>
    </w:p>
    <w:bookmarkStart w:id="27" w:name="methodology-and-scope-definition"/>
    <w:p>
      <w:pPr>
        <w:pStyle w:val="Heading2"/>
      </w:pPr>
      <w:r>
        <w:t xml:space="preserve">1. Methodology and Scope Definition</w:t>
      </w:r>
    </w:p>
    <w:p>
      <w:pPr>
        <w:pStyle w:val="FirstParagraph"/>
      </w:pPr>
      <w:r>
        <w:t xml:space="preserve">This Product Carbon Footprint (PCF) analysis adheres strictly to the GHG Protocol Product Standard, leveraging a lifecycle assessment (LCA) approach to quantify the greenhouse gas emissions associated with "eqrdsghguq." The methodology is structured around the following five key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eqrdsghguq</w:t>
      </w:r>
      <w:r>
        <w:t xml:space="preserve">. This unit serves as the reference basis for all quantified environmental impacts, ensuring comparability and consistency in the assessment.</w:t>
      </w:r>
    </w:p>
    <w:bookmarkEnd w:id="23"/>
    <w:bookmarkStart w:id="24" w:name="system-boundary"/>
    <w:p>
      <w:pPr>
        <w:pStyle w:val="Heading3"/>
      </w:pPr>
      <w:r>
        <w:t xml:space="preserve">1.2 System Boundary</w:t>
      </w:r>
    </w:p>
    <w:p>
      <w:pPr>
        <w:pStyle w:val="FirstParagraph"/>
      </w:pPr>
      <w:r>
        <w:t xml:space="preserve">The stated system boundary for this analysis is initially "factory_gate." However, to provide a comprehensive understanding of the product\'s full environmental impact as requested, the analysis has been expanded to a "cradle-to-grave" approach. This includes:</w:t>
      </w:r>
    </w:p>
    <w:p>
      <w:pPr>
        <w:numPr>
          <w:ilvl w:val="0"/>
          <w:numId w:val="1002"/>
        </w:numPr>
        <w:pStyle w:val="Compact"/>
      </w:pPr>
      <w:r>
        <w:rPr>
          <w:bCs/>
          <w:b/>
        </w:rPr>
        <w:t xml:space="preserve">Upstream (Cradle-to-Gate):</w:t>
      </w:r>
      <w:r>
        <w:t xml:space="preserve"> </w:t>
      </w:r>
      <w:r>
        <w:t xml:space="preserve">Raw material acquisition and pre-processing, and manufacturing at the jueqpjjeor facility in China.</w:t>
      </w:r>
    </w:p>
    <w:p>
      <w:pPr>
        <w:numPr>
          <w:ilvl w:val="0"/>
          <w:numId w:val="1002"/>
        </w:numPr>
        <w:pStyle w:val="Compact"/>
      </w:pPr>
      <w:r>
        <w:rPr>
          <w:bCs/>
          <w:b/>
        </w:rPr>
        <w:t xml:space="preserve">Core (Gate-to-Gate):</w:t>
      </w:r>
      <w:r>
        <w:t xml:space="preserve"> </w:t>
      </w:r>
      <w:r>
        <w:t xml:space="preserve">Direct emissions from manufacturing processes and purchased energy at the factory.</w:t>
      </w:r>
    </w:p>
    <w:p>
      <w:pPr>
        <w:numPr>
          <w:ilvl w:val="0"/>
          <w:numId w:val="1002"/>
        </w:numPr>
        <w:pStyle w:val="Compact"/>
      </w:pPr>
      <w:r>
        <w:rPr>
          <w:bCs/>
          <w:b/>
        </w:rPr>
        <w:t xml:space="preserve">Downstream (Gate-to-Grave):</w:t>
      </w:r>
      <w:r>
        <w:t xml:space="preserve"> </w:t>
      </w:r>
      <w:r>
        <w:t xml:space="preserve">Transportation to customer, the product\'s use phase, and its end-of-life treatment.</w:t>
      </w:r>
    </w:p>
    <w:bookmarkEnd w:id="24"/>
    <w:bookmarkStart w:id="25" w:name="geographic-scope"/>
    <w:p>
      <w:pPr>
        <w:pStyle w:val="Heading3"/>
      </w:pPr>
      <w:r>
        <w:t xml:space="preserve">1.3 Geographic Scope</w:t>
      </w:r>
    </w:p>
    <w:p>
      <w:pPr>
        <w:pStyle w:val="FirstParagraph"/>
      </w:pPr>
      <w:r>
        <w:t xml:space="preserve">The geographic scope for the final production country is</w:t>
      </w:r>
      <w:r>
        <w:t xml:space="preserve"> </w:t>
      </w:r>
      <w:r>
        <w:rPr>
          <w:bCs/>
          <w:b/>
        </w:rPr>
        <w:t xml:space="preserve">China</w:t>
      </w:r>
      <w:r>
        <w:t xml:space="preserve">. The supply chain focus is primarily</w:t>
      </w:r>
      <w:r>
        <w:t xml:space="preserve"> </w:t>
      </w:r>
      <w:r>
        <w:rPr>
          <w:bCs/>
          <w:b/>
        </w:rPr>
        <w:t xml:space="preserve">Europe Focused</w:t>
      </w:r>
      <w:r>
        <w:t xml:space="preserve">, implying that downstream transportation, product use, and end-of-life scenarios are modeled based on European conditions and practices.</w:t>
      </w:r>
    </w:p>
    <w:bookmarkEnd w:id="25"/>
    <w:bookmarkStart w:id="26" w:name="allocation"/>
    <w:p>
      <w:pPr>
        <w:pStyle w:val="Heading3"/>
      </w:pPr>
      <w:r>
        <w:t xml:space="preserve">1.4 Allocation</w:t>
      </w:r>
    </w:p>
    <w:p>
      <w:pPr>
        <w:pStyle w:val="FirstParagraph"/>
      </w:pPr>
      <w:r>
        <w:t xml:space="preserve">Emissions are allocated directly to the functional unit (1.0 unit of eqrdsghguq). For multi-functional processes within the supply chain, allocation has been performed based on mass, where appropriate, to attribute environmental burdens proportionally.</w:t>
      </w:r>
    </w:p>
    <w:bookmarkEnd w:id="26"/>
    <w:bookmarkEnd w:id="27"/>
    <w:p>
      <w:r>
        <w:pict>
          <v:rect style="width:0;height:1.5pt" o:hralign="center" o:hrstd="t" o:hr="t"/>
        </w:pict>
      </w:r>
    </w:p>
    <w:bookmarkStart w:id="34" w:name="lifecycle-mapping-lci-inventory-stages"/>
    <w:p>
      <w:pPr>
        <w:pStyle w:val="Heading2"/>
      </w:pPr>
      <w:r>
        <w:t xml:space="preserve">2. Lifecycle Mapping (LCI Inventory Stages)</w:t>
      </w:r>
    </w:p>
    <w:p>
      <w:pPr>
        <w:pStyle w:val="FirstParagraph"/>
      </w:pPr>
      <w:r>
        <w:t xml:space="preserve">The lifecycle of eqrdsghguq has been mapped into distinct stages, reflecting the flow of materials and energy from raw material extraction to end-of-life.</w:t>
      </w:r>
    </w:p>
    <w:bookmarkStart w:id="29" w:name="materials-acquisition-pre-processing"/>
    <w:p>
      <w:pPr>
        <w:pStyle w:val="Heading3"/>
      </w:pPr>
      <w:r>
        <w:t xml:space="preserve">2.1 Materials Acquisition &amp; Pre-processing</w:t>
      </w:r>
    </w:p>
    <w:p>
      <w:pPr>
        <w:pStyle w:val="FirstParagraph"/>
      </w:pPr>
      <w:r>
        <w:t xml:space="preserve">This stage covers the extraction and processing of raw materials as detailed in the Bill of Materials (BOM).</w:t>
      </w:r>
    </w:p>
    <w:bookmarkStart w:id="28" w:name="Xb095c787a1f9e979f4647a4ed0e8784da885152"/>
    <w:p>
      <w:pPr>
        <w:pStyle w:val="Heading4"/>
      </w:pPr>
      <w:r>
        <w:t xml:space="preserve">Detailed Bill of Materials (BOM) for eqrdsghguq</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10.0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0.001</w:t>
            </w:r>
          </w:p>
        </w:tc>
        <w:tc>
          <w:tcPr/>
          <w:p>
            <w:pPr>
              <w:pStyle w:val="Compact"/>
              <w:jc w:val="left"/>
            </w:pPr>
            <w:r>
              <w:t xml:space="preserve">200.0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15.0</w:t>
            </w:r>
          </w:p>
        </w:tc>
        <w:tc>
          <w:tcPr/>
          <w:p>
            <w:pPr>
              <w:pStyle w:val="Compact"/>
              <w:jc w:val="left"/>
            </w:pPr>
            <w:r>
              <w:t xml:space="preserve">0.30</w:t>
            </w:r>
          </w:p>
        </w:tc>
      </w:tr>
      <w:tr>
        <w:tc>
          <w:tcPr>
            <w:gridSpan w:val="4"/>
          </w:tcPr>
          <w:p>
            <w:pPr>
              <w:pStyle w:val="Compact"/>
              <w:jc w:val="right"/>
            </w:pPr>
            <w:r>
              <w:rPr>
                <w:bCs/>
                <w:b/>
              </w:rPr>
              <w:t xml:space="preserve">Total Material Weight:</w:t>
            </w:r>
          </w:p>
        </w:tc>
        <w:tc>
          <w:tcPr/>
          <w:p>
            <w:pPr>
              <w:pStyle w:val="Compact"/>
              <w:jc w:val="left"/>
            </w:pPr>
            <w:r>
              <w:rPr>
                <w:bCs/>
                <w:b/>
              </w:rPr>
              <w:t xml:space="preserve">0.571 kg</w:t>
            </w:r>
          </w:p>
        </w:tc>
        <w:tc>
          <w:tcPr/>
          <w:p>
            <w:pPr>
              <w:pStyle w:val="Compact"/>
            </w:pPr>
          </w:p>
        </w:tc>
        <w:tc>
          <w:tcPr/>
          <w:p>
            <w:pPr>
              <w:pStyle w:val="Compact"/>
              <w:jc w:val="left"/>
            </w:pPr>
            <w:r>
              <w:rPr>
                <w:bCs/>
                <w:b/>
              </w:rPr>
              <w:t xml:space="preserve">4.40 kg CO2e</w:t>
            </w:r>
          </w:p>
        </w:tc>
      </w:tr>
    </w:tbl>
    <w:bookmarkEnd w:id="28"/>
    <w:bookmarkEnd w:id="29"/>
    <w:bookmarkStart w:id="30" w:name="manufacturing"/>
    <w:p>
      <w:pPr>
        <w:pStyle w:val="Heading3"/>
      </w:pPr>
      <w:r>
        <w:t xml:space="preserve">2.2 Manufacturing</w:t>
      </w:r>
    </w:p>
    <w:p>
      <w:pPr>
        <w:pStyle w:val="FirstParagraph"/>
      </w:pPr>
      <w:r>
        <w:t xml:space="preserve">The manufacturing phase at the jueqpjjeor factory in China involves energy consumption for various processes.</w:t>
      </w:r>
    </w:p>
    <w:p>
      <w:pPr>
        <w:numPr>
          <w:ilvl w:val="0"/>
          <w:numId w:val="1003"/>
        </w:numPr>
        <w:pStyle w:val="Compact"/>
      </w:pPr>
      <w:r>
        <w:rPr>
          <w:bCs/>
          <w:b/>
        </w:rPr>
        <w:t xml:space="preserve">Energy Intensity:</w:t>
      </w:r>
      <w:r>
        <w:t xml:space="preserve"> </w:t>
      </w:r>
      <w:r>
        <w:t xml:space="preserve">8.5 kWh/unit</w:t>
      </w:r>
    </w:p>
    <w:p>
      <w:pPr>
        <w:numPr>
          <w:ilvl w:val="0"/>
          <w:numId w:val="1003"/>
        </w:numPr>
        <w:pStyle w:val="Compact"/>
      </w:pPr>
      <w:r>
        <w:rPr>
          <w:bCs/>
          <w:b/>
        </w:rPr>
        <w:t xml:space="preserve">Renewable Energy Usage:</w:t>
      </w:r>
      <w:r>
        <w:t xml:space="preserve"> </w:t>
      </w:r>
      <w:r>
        <w:t xml:space="preserve">60%</w:t>
      </w:r>
    </w:p>
    <w:bookmarkEnd w:id="30"/>
    <w:bookmarkStart w:id="31" w:name="transportation"/>
    <w:p>
      <w:pPr>
        <w:pStyle w:val="Heading3"/>
      </w:pPr>
      <w:r>
        <w:t xml:space="preserve">2.3 Transportation</w:t>
      </w:r>
    </w:p>
    <w:p>
      <w:pPr>
        <w:pStyle w:val="FirstParagraph"/>
      </w:pPr>
      <w:r>
        <w:t xml:space="preserve">This stage includes the transport of the finished product from the factory to the end-user.</w:t>
      </w:r>
    </w:p>
    <w:p>
      <w:pPr>
        <w:numPr>
          <w:ilvl w:val="0"/>
          <w:numId w:val="1004"/>
        </w:numPr>
        <w:pStyle w:val="Compact"/>
      </w:pPr>
      <w:r>
        <w:rPr>
          <w:bCs/>
          <w:b/>
        </w:rPr>
        <w:t xml:space="preserve">Primary Transport Mode (Factory to Distribution Hub):</w:t>
      </w:r>
      <w:r>
        <w:t xml:space="preserve"> </w:t>
      </w:r>
      <w:r>
        <w:t xml:space="preserve">Sea Freight</w:t>
      </w:r>
    </w:p>
    <w:p>
      <w:pPr>
        <w:numPr>
          <w:ilvl w:val="0"/>
          <w:numId w:val="1004"/>
        </w:numPr>
        <w:pStyle w:val="Compact"/>
      </w:pPr>
      <w:r>
        <w:rPr>
          <w:bCs/>
          <w:b/>
        </w:rPr>
        <w:t xml:space="preserve">Primary Transport Distance:</w:t>
      </w:r>
      <w:r>
        <w:t xml:space="preserve"> </w:t>
      </w:r>
      <w:r>
        <w:t xml:space="preserve">1500 km</w:t>
      </w:r>
    </w:p>
    <w:p>
      <w:pPr>
        <w:numPr>
          <w:ilvl w:val="0"/>
          <w:numId w:val="1004"/>
        </w:numPr>
        <w:pStyle w:val="Compact"/>
      </w:pPr>
      <w:r>
        <w:rPr>
          <w:bCs/>
          <w:b/>
        </w:rPr>
        <w:t xml:space="preserve">Last-Mile Delivery Channel:</w:t>
      </w:r>
      <w:r>
        <w:t xml:space="preserve"> </w:t>
      </w:r>
      <w:r>
        <w:t xml:space="preserve">Road Freight (LCL - Less than Container Load)</w:t>
      </w:r>
    </w:p>
    <w:p>
      <w:pPr>
        <w:numPr>
          <w:ilvl w:val="0"/>
          <w:numId w:val="1004"/>
        </w:numPr>
        <w:pStyle w:val="Compact"/>
      </w:pPr>
      <w:r>
        <w:rPr>
          <w:bCs/>
          <w:b/>
        </w:rPr>
        <w:t xml:space="preserve">Last-Mile Delivery Distance (Assumed):</w:t>
      </w:r>
      <w:r>
        <w:t xml:space="preserve"> </w:t>
      </w:r>
      <w:r>
        <w:t xml:space="preserve">500 km (from distribution hub to end-customer in Europe)</w:t>
      </w:r>
    </w:p>
    <w:bookmarkEnd w:id="31"/>
    <w:bookmarkStart w:id="32" w:name="use-phase"/>
    <w:p>
      <w:pPr>
        <w:pStyle w:val="Heading3"/>
      </w:pPr>
      <w:r>
        <w:t xml:space="preserve">2.4 Use Phase</w:t>
      </w:r>
    </w:p>
    <w:p>
      <w:pPr>
        <w:pStyle w:val="FirstParagraph"/>
      </w:pPr>
      <w:r>
        <w:t xml:space="preserve">Emissions associated with the product\'s usage over its lifespan.</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12 kWh/year</w:t>
      </w:r>
    </w:p>
    <w:bookmarkEnd w:id="32"/>
    <w:bookmarkStart w:id="33" w:name="end-of-life-eol"/>
    <w:p>
      <w:pPr>
        <w:pStyle w:val="Heading3"/>
      </w:pPr>
      <w:r>
        <w:t xml:space="preserve">2.5 End-of-Life (EoL)</w:t>
      </w:r>
    </w:p>
    <w:p>
      <w:pPr>
        <w:pStyle w:val="FirstParagraph"/>
      </w:pPr>
      <w:r>
        <w:t xml:space="preserve">The fate of the product at the end of its functional life.</w:t>
      </w:r>
    </w:p>
    <w:p>
      <w:pPr>
        <w:numPr>
          <w:ilvl w:val="0"/>
          <w:numId w:val="1006"/>
        </w:numPr>
        <w:pStyle w:val="Compact"/>
      </w:pPr>
      <w:r>
        <w:rPr>
          <w:bCs/>
          <w:b/>
        </w:rPr>
        <w:t xml:space="preserve">Recyclability Percentage:</w:t>
      </w:r>
      <w:r>
        <w:t xml:space="preserve"> </w:t>
      </w:r>
      <w:r>
        <w:t xml:space="preserve">80%</w:t>
      </w:r>
    </w:p>
    <w:p>
      <w:pPr>
        <w:numPr>
          <w:ilvl w:val="0"/>
          <w:numId w:val="1006"/>
        </w:numPr>
        <w:pStyle w:val="Compact"/>
      </w:pPr>
      <w:r>
        <w:rPr>
          <w:bCs/>
          <w:b/>
        </w:rPr>
        <w:t xml:space="preserve">Circular/Take-back Programs:</w:t>
      </w:r>
      <w:r>
        <w:t xml:space="preserve"> </w:t>
      </w:r>
      <w:r>
        <w:t xml:space="preserve">Regional electronic waste take-back program</w:t>
      </w:r>
    </w:p>
    <w:bookmarkEnd w:id="33"/>
    <w:bookmarkEnd w:id="34"/>
    <w:p>
      <w:r>
        <w:pict>
          <v:rect style="width:0;height:1.5pt" o:hralign="center" o:hrstd="t" o:hr="t"/>
        </w:pict>
      </w:r>
    </w:p>
    <w:bookmarkStart w:id="38" w:name="X7b6d01ce7b6bfe45f00681616505557cddf238f"/>
    <w:p>
      <w:pPr>
        <w:pStyle w:val="Heading2"/>
      </w:pPr>
      <w:r>
        <w:t xml:space="preserve">3. Data Collection (Primary/Secondary Data Points)</w:t>
      </w:r>
    </w:p>
    <w:p>
      <w:pPr>
        <w:pStyle w:val="FirstParagraph"/>
      </w:pPr>
      <w:r>
        <w:t xml:space="preserve">Data collection involved a combination of primary data provided by jueqpjjeor and secondary data from industry-standard databases.</w:t>
      </w:r>
    </w:p>
    <w:bookmarkStart w:id="35" w:name="primary-data"/>
    <w:p>
      <w:pPr>
        <w:pStyle w:val="Heading3"/>
      </w:pPr>
      <w:r>
        <w:t xml:space="preserve">3.1 Primary Data</w:t>
      </w:r>
    </w:p>
    <w:p>
      <w:pPr>
        <w:numPr>
          <w:ilvl w:val="0"/>
          <w:numId w:val="1007"/>
        </w:numPr>
        <w:pStyle w:val="Compact"/>
      </w:pPr>
      <w:r>
        <w:t xml:space="preserve">Detailed Bill of Materials (BOM): The exact data provided as \'szfiyvjv\' was used for material composition and pre-calculated carbon impact.</w:t>
      </w:r>
    </w:p>
    <w:p>
      <w:pPr>
        <w:numPr>
          <w:ilvl w:val="0"/>
          <w:numId w:val="1007"/>
        </w:numPr>
        <w:pStyle w:val="Compact"/>
      </w:pPr>
      <w:r>
        <w:t xml:space="preserve">Transport Mode, Distance, and Delivery Channel: Specific logistics parameters were incorporated.</w:t>
      </w:r>
    </w:p>
    <w:p>
      <w:pPr>
        <w:numPr>
          <w:ilvl w:val="0"/>
          <w:numId w:val="1007"/>
        </w:numPr>
        <w:pStyle w:val="Compact"/>
      </w:pPr>
      <w:r>
        <w:t xml:space="preserve">Energy Customization: Renewable energy usage and energy intensity were directly applied.</w:t>
      </w:r>
    </w:p>
    <w:p>
      <w:pPr>
        <w:numPr>
          <w:ilvl w:val="0"/>
          <w:numId w:val="1007"/>
        </w:numPr>
        <w:pStyle w:val="Compact"/>
      </w:pPr>
      <w:r>
        <w:t xml:space="preserve">Use Phase Data: Product lifespan and annual energy consumption during use were used.</w:t>
      </w:r>
    </w:p>
    <w:p>
      <w:pPr>
        <w:numPr>
          <w:ilvl w:val="0"/>
          <w:numId w:val="1007"/>
        </w:numPr>
        <w:pStyle w:val="Compact"/>
      </w:pPr>
      <w:r>
        <w:t xml:space="preserve">End-of-Life Scenarios: Recyclability percentage and existence of circular programs were accounted for.</w:t>
      </w:r>
    </w:p>
    <w:bookmarkEnd w:id="35"/>
    <w:bookmarkStart w:id="37" w:name="secondary-data-emission-factors"/>
    <w:p>
      <w:pPr>
        <w:pStyle w:val="Heading3"/>
      </w:pPr>
      <w:r>
        <w:t xml:space="preserve">3.2 Secondary Data (Emission Factors)</w:t>
      </w:r>
    </w:p>
    <w:p>
      <w:pPr>
        <w:pStyle w:val="FirstParagraph"/>
      </w:pPr>
      <w:r>
        <w:t xml:space="preserve">To calculate emissions, industry-standard emission factors from reputable sources such as Ecoinvent and DEFRA were referenced. Where specific, real-world data was unavailable for generic placeholders (e.g., "Select Mode", "Delivery Type"), representative average emission factors have been utilized.</w:t>
      </w:r>
    </w:p>
    <w:bookmarkStart w:id="36" w:name="Xcd10c64d3173b184b670ef6d2b1800d689f0466"/>
    <w:p>
      <w:pPr>
        <w:pStyle w:val="Heading4"/>
      </w:pPr>
      <w:r>
        <w:t xml:space="preserve">Table 3.1: Illustrative Emission Factors Used for Calculation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 CO2e)</w:t>
            </w:r>
          </w:p>
        </w:tc>
        <w:tc>
          <w:tcPr/>
          <w:p>
            <w:pPr>
              <w:pStyle w:val="Compact"/>
              <w:jc w:val="left"/>
            </w:pPr>
            <w:r>
              <w:t xml:space="preserve">Source (Illustrative)</w:t>
            </w:r>
          </w:p>
        </w:tc>
      </w:tr>
      <w:tr>
        <w:tc>
          <w:tcPr/>
          <w:p>
            <w:pPr>
              <w:pStyle w:val="Compact"/>
              <w:jc w:val="left"/>
            </w:pPr>
            <w:r>
              <w:t xml:space="preserve">Electricity (China Grid)</w:t>
            </w:r>
          </w:p>
        </w:tc>
        <w:tc>
          <w:tcPr/>
          <w:p>
            <w:pPr>
              <w:pStyle w:val="Compact"/>
              <w:jc w:val="left"/>
            </w:pPr>
            <w:r>
              <w:t xml:space="preserve">Manufacturing Energy</w:t>
            </w:r>
          </w:p>
        </w:tc>
        <w:tc>
          <w:tcPr/>
          <w:p>
            <w:pPr>
              <w:pStyle w:val="Compact"/>
              <w:jc w:val="left"/>
            </w:pPr>
            <w:r>
              <w:t xml:space="preserve">0.60 kg CO2e/kWh</w:t>
            </w:r>
          </w:p>
        </w:tc>
        <w:tc>
          <w:tcPr/>
          <w:p>
            <w:pPr>
              <w:pStyle w:val="Compact"/>
              <w:jc w:val="left"/>
            </w:pPr>
            <w:r>
              <w:t xml:space="preserve">IEA/MEE average for 2021</w:t>
            </w:r>
          </w:p>
        </w:tc>
      </w:tr>
      <w:tr>
        <w:tc>
          <w:tcPr/>
          <w:p>
            <w:pPr>
              <w:pStyle w:val="Compact"/>
              <w:jc w:val="left"/>
            </w:pPr>
            <w:r>
              <w:t xml:space="preserve">Electricity (Europe Grid)</w:t>
            </w:r>
          </w:p>
        </w:tc>
        <w:tc>
          <w:tcPr/>
          <w:p>
            <w:pPr>
              <w:pStyle w:val="Compact"/>
              <w:jc w:val="left"/>
            </w:pPr>
            <w:r>
              <w:t xml:space="preserve">Product Use Energy</w:t>
            </w:r>
          </w:p>
        </w:tc>
        <w:tc>
          <w:tcPr/>
          <w:p>
            <w:pPr>
              <w:pStyle w:val="Compact"/>
              <w:jc w:val="left"/>
            </w:pPr>
            <w:r>
              <w:t xml:space="preserve">0.25 kg CO2e/kWh</w:t>
            </w:r>
          </w:p>
        </w:tc>
        <w:tc>
          <w:tcPr/>
          <w:p>
            <w:pPr>
              <w:pStyle w:val="Compact"/>
              <w:jc w:val="left"/>
            </w:pPr>
            <w:r>
              <w:t xml:space="preserve">EU-27 average for 2021</w:t>
            </w:r>
          </w:p>
        </w:tc>
      </w:tr>
      <w:tr>
        <w:tc>
          <w:tcPr/>
          <w:p>
            <w:pPr>
              <w:pStyle w:val="Compact"/>
              <w:jc w:val="left"/>
            </w:pPr>
            <w:r>
              <w:t xml:space="preserve">Sea Freight (Container Ship)</w:t>
            </w:r>
          </w:p>
        </w:tc>
        <w:tc>
          <w:tcPr/>
          <w:p>
            <w:pPr>
              <w:pStyle w:val="Compact"/>
              <w:jc w:val="left"/>
            </w:pPr>
            <w:r>
              <w:t xml:space="preserve">Per tonne-kilometer</w:t>
            </w:r>
          </w:p>
        </w:tc>
        <w:tc>
          <w:tcPr/>
          <w:p>
            <w:pPr>
              <w:pStyle w:val="Compact"/>
              <w:jc w:val="left"/>
            </w:pPr>
            <w:r>
              <w:t xml:space="preserve">0.008 kg CO2e/tkm</w:t>
            </w:r>
          </w:p>
        </w:tc>
        <w:tc>
          <w:tcPr/>
          <w:p>
            <w:pPr>
              <w:pStyle w:val="Compact"/>
              <w:jc w:val="left"/>
            </w:pPr>
            <w:r>
              <w:t xml:space="preserve">DEFRA/Industry average</w:t>
            </w:r>
          </w:p>
        </w:tc>
      </w:tr>
      <w:tr>
        <w:tc>
          <w:tcPr/>
          <w:p>
            <w:pPr>
              <w:pStyle w:val="Compact"/>
              <w:jc w:val="left"/>
            </w:pPr>
            <w:r>
              <w:t xml:space="preserve">Road Freight (LCL)</w:t>
            </w:r>
          </w:p>
        </w:tc>
        <w:tc>
          <w:tcPr/>
          <w:p>
            <w:pPr>
              <w:pStyle w:val="Compact"/>
              <w:jc w:val="left"/>
            </w:pPr>
            <w:r>
              <w:t xml:space="preserve">Per tonne-kilometer</w:t>
            </w:r>
          </w:p>
        </w:tc>
        <w:tc>
          <w:tcPr/>
          <w:p>
            <w:pPr>
              <w:pStyle w:val="Compact"/>
              <w:jc w:val="left"/>
            </w:pPr>
            <w:r>
              <w:t xml:space="preserve">0.15 kg CO2e/tkm</w:t>
            </w:r>
          </w:p>
        </w:tc>
        <w:tc>
          <w:tcPr/>
          <w:p>
            <w:pPr>
              <w:pStyle w:val="Compact"/>
              <w:jc w:val="left"/>
            </w:pPr>
            <w:r>
              <w:t xml:space="preserve">DEFRA/Industry average</w:t>
            </w:r>
          </w:p>
        </w:tc>
      </w:tr>
      <w:tr>
        <w:tc>
          <w:tcPr/>
          <w:p>
            <w:pPr>
              <w:pStyle w:val="Compact"/>
              <w:jc w:val="left"/>
            </w:pPr>
            <w:r>
              <w:t xml:space="preserve">Recycling Credit (Mixed Materials)</w:t>
            </w:r>
          </w:p>
        </w:tc>
        <w:tc>
          <w:tcPr/>
          <w:p>
            <w:pPr>
              <w:pStyle w:val="Compact"/>
              <w:jc w:val="left"/>
            </w:pPr>
            <w:r>
              <w:t xml:space="preserve">Per kg recycled</w:t>
            </w:r>
          </w:p>
        </w:tc>
        <w:tc>
          <w:tcPr/>
          <w:p>
            <w:pPr>
              <w:pStyle w:val="Compact"/>
              <w:jc w:val="left"/>
            </w:pPr>
            <w:r>
              <w:t xml:space="preserve">-1.2 kg CO2e/kg</w:t>
            </w:r>
          </w:p>
        </w:tc>
        <w:tc>
          <w:tcPr/>
          <w:p>
            <w:pPr>
              <w:pStyle w:val="Compact"/>
              <w:jc w:val="left"/>
            </w:pPr>
            <w:r>
              <w:t xml:space="preserve">Industry average (avoided emissions)</w:t>
            </w:r>
          </w:p>
        </w:tc>
      </w:tr>
      <w:tr>
        <w:tc>
          <w:tcPr/>
          <w:p>
            <w:pPr>
              <w:pStyle w:val="Compact"/>
              <w:jc w:val="left"/>
            </w:pPr>
            <w:r>
              <w:t xml:space="preserve">Landfill (Mixed Waste)</w:t>
            </w:r>
          </w:p>
        </w:tc>
        <w:tc>
          <w:tcPr/>
          <w:p>
            <w:pPr>
              <w:pStyle w:val="Compact"/>
              <w:jc w:val="left"/>
            </w:pPr>
            <w:r>
              <w:t xml:space="preserve">Per kg disposed</w:t>
            </w:r>
          </w:p>
        </w:tc>
        <w:tc>
          <w:tcPr/>
          <w:p>
            <w:pPr>
              <w:pStyle w:val="Compact"/>
              <w:jc w:val="left"/>
            </w:pPr>
            <w:r>
              <w:t xml:space="preserve">0.05 kg CO2e/kg</w:t>
            </w:r>
          </w:p>
        </w:tc>
        <w:tc>
          <w:tcPr/>
          <w:p>
            <w:pPr>
              <w:pStyle w:val="Compact"/>
              <w:jc w:val="left"/>
            </w:pPr>
            <w:r>
              <w:t xml:space="preserve">EPA WARM / Industry average</w:t>
            </w:r>
          </w:p>
        </w:tc>
      </w:tr>
    </w:tbl>
    <w:bookmarkEnd w:id="36"/>
    <w:bookmarkEnd w:id="37"/>
    <w:bookmarkEnd w:id="38"/>
    <w:p>
      <w:r>
        <w:pict>
          <v:rect style="width:0;height:1.5pt" o:hralign="center" o:hrstd="t" o:hr="t"/>
        </w:pict>
      </w:r>
    </w:p>
    <w:bookmarkStart w:id="49" w:name="Xdd1c2ba429305467bad58a0828410d9d0fce25c"/>
    <w:p>
      <w:pPr>
        <w:pStyle w:val="Heading2"/>
      </w:pPr>
      <w:r>
        <w:t xml:space="preserve">4. Emissions Calculation (Activity * Emission Factor = CO2e)</w:t>
      </w:r>
    </w:p>
    <w:p>
      <w:pPr>
        <w:pStyle w:val="FirstParagraph"/>
      </w:pPr>
      <w:r>
        <w:t xml:space="preserve">The emissions for each lifecycle stage have been calculated and categorized according to the GHG Protocol\'s Scope 1, 2, and 3 classifications.</w:t>
      </w:r>
    </w:p>
    <w:bookmarkStart w:id="39" w:name="scope-1-emissions-direct-emissions"/>
    <w:p>
      <w:pPr>
        <w:pStyle w:val="Heading3"/>
      </w:pPr>
      <w:r>
        <w:t xml:space="preserve">4.1 Scope 1 Emissions (Direct Emissions)</w:t>
      </w:r>
    </w:p>
    <w:p>
      <w:pPr>
        <w:pStyle w:val="FirstParagraph"/>
      </w:pPr>
      <w:r>
        <w:t xml:space="preserve">Direct GHG emissions from sources owned or controlled by jueqpjjeor. For this product-specific analysis, no significant Scope 1 emissions were identified beyond those implicitly covered by the material production (which are upstream Scope 3) or manufacturing energy (which is Scope 2). Any on-site fuel combustion not related to electricity generation, if present, is assumed to be negligible or covered within upstream processes of material/energy suppliers.</w:t>
      </w:r>
    </w:p>
    <w:bookmarkEnd w:id="39"/>
    <w:bookmarkStart w:id="40" w:name="scope-2-emissions-purchased-energy"/>
    <w:p>
      <w:pPr>
        <w:pStyle w:val="Heading3"/>
      </w:pPr>
      <w:r>
        <w:t xml:space="preserve">4.2 Scope 2 Emissions (Purchased Energy)</w:t>
      </w:r>
    </w:p>
    <w:p>
      <w:pPr>
        <w:pStyle w:val="FirstParagraph"/>
      </w:pPr>
      <w:r>
        <w:t xml:space="preserve">Indirect GHG emissions from the generation of purchased electricity consumed by jueqpjjeor\'s manufacturing facility.</w:t>
      </w:r>
    </w:p>
    <w:p>
      <w:pPr>
        <w:numPr>
          <w:ilvl w:val="0"/>
          <w:numId w:val="1008"/>
        </w:numPr>
        <w:pStyle w:val="Compact"/>
      </w:pPr>
      <w:r>
        <w:t xml:space="preserve">Energy Intensity: 8.5 kWh/unit</w:t>
      </w:r>
    </w:p>
    <w:p>
      <w:pPr>
        <w:numPr>
          <w:ilvl w:val="0"/>
          <w:numId w:val="1008"/>
        </w:numPr>
        <w:pStyle w:val="Compact"/>
      </w:pPr>
      <w:r>
        <w:t xml:space="preserve">Renewable Energy Usage: 60%</w:t>
      </w:r>
    </w:p>
    <w:p>
      <w:pPr>
        <w:numPr>
          <w:ilvl w:val="0"/>
          <w:numId w:val="1008"/>
        </w:numPr>
        <w:pStyle w:val="Compact"/>
      </w:pPr>
      <w:r>
        <w:t xml:space="preserve">Non-renewable energy: 8.5 kWh/unit * (1 - 0.60) = 3.4 kWh/unit</w:t>
      </w:r>
    </w:p>
    <w:p>
      <w:pPr>
        <w:numPr>
          <w:ilvl w:val="0"/>
          <w:numId w:val="1008"/>
        </w:numPr>
        <w:pStyle w:val="Compact"/>
      </w:pPr>
      <w:r>
        <w:t xml:space="preserve">Emission Factor (China Grid): 0.60 kg CO2e/kWh</w:t>
      </w:r>
    </w:p>
    <w:p>
      <w:pPr>
        <w:numPr>
          <w:ilvl w:val="0"/>
          <w:numId w:val="1008"/>
        </w:numPr>
        <w:pStyle w:val="Compact"/>
      </w:pPr>
      <w:r>
        <w:rPr>
          <w:bCs/>
          <w:b/>
        </w:rPr>
        <w:t xml:space="preserve">Calculated Scope 2 Emissions:</w:t>
      </w:r>
      <w:r>
        <w:t xml:space="preserve"> </w:t>
      </w:r>
      <w:r>
        <w:t xml:space="preserve">3.4 kWh/unit * 0.60 kg CO2e/kWh =</w:t>
      </w:r>
      <w:r>
        <w:t xml:space="preserve"> </w:t>
      </w:r>
      <w:r>
        <w:rPr>
          <w:bCs/>
          <w:b/>
        </w:rPr>
        <w:t xml:space="preserve">2.04 kg CO2e</w:t>
      </w:r>
    </w:p>
    <w:bookmarkEnd w:id="40"/>
    <w:bookmarkStart w:id="45" w:name="scope-3-emissions-value-chain"/>
    <w:p>
      <w:pPr>
        <w:pStyle w:val="Heading3"/>
      </w:pPr>
      <w:r>
        <w:t xml:space="preserve">4.3 Scope 3 Emissions (Value Chain)</w:t>
      </w:r>
    </w:p>
    <w:p>
      <w:pPr>
        <w:pStyle w:val="FirstParagraph"/>
      </w:pPr>
      <w:r>
        <w:t xml:space="preserve">All other indirect emissions that occur in the value chain of jueqpjjeor, both upstream and downstream. The 2026 GHG Protocol requirements emphasize at least 95% coverage for Scope 3 reporting.</w:t>
      </w:r>
    </w:p>
    <w:bookmarkStart w:id="41" w:name="Xab9729a0caae076ca89f2f71668734f92723cf2"/>
    <w:p>
      <w:pPr>
        <w:pStyle w:val="Heading4"/>
      </w:pPr>
      <w:r>
        <w:t xml:space="preserve">4.3.1 Category 1: Purchased Goods and Services (Materials)</w:t>
      </w:r>
    </w:p>
    <w:p>
      <w:pPr>
        <w:numPr>
          <w:ilvl w:val="0"/>
          <w:numId w:val="1009"/>
        </w:numPr>
        <w:pStyle w:val="Compact"/>
      </w:pPr>
      <w:r>
        <w:t xml:space="preserve">Total Carbon from Detailed BOM:</w:t>
      </w:r>
      <w:r>
        <w:t xml:space="preserve"> </w:t>
      </w:r>
      <w:r>
        <w:rPr>
          <w:bCs/>
          <w:b/>
        </w:rPr>
        <w:t xml:space="preserve">4.40 kg CO2e</w:t>
      </w:r>
    </w:p>
    <w:bookmarkEnd w:id="41"/>
    <w:bookmarkStart w:id="42" w:name="Xe89e0a56fad43ffa0ef954ec8eb4af10b66d99f"/>
    <w:p>
      <w:pPr>
        <w:pStyle w:val="Heading4"/>
      </w:pPr>
      <w:r>
        <w:t xml:space="preserve">4.3.2 Category 4 &amp; 9: Transportation and Distribution (Upstream &amp; Downstream)</w:t>
      </w:r>
    </w:p>
    <w:p>
      <w:pPr>
        <w:pStyle w:val="FirstParagraph"/>
      </w:pPr>
      <w:r>
        <w:t xml:space="preserve">(Calculations based on total product mass of 0.571 kg = 0.000571 tonnes)</w:t>
      </w:r>
    </w:p>
    <w:p>
      <w:pPr>
        <w:numPr>
          <w:ilvl w:val="0"/>
          <w:numId w:val="1010"/>
        </w:numPr>
        <w:pStyle w:val="Compact"/>
      </w:pPr>
      <w:r>
        <w:rPr>
          <w:bCs/>
          <w:b/>
        </w:rPr>
        <w:t xml:space="preserve">Primary Transport (Sea Freight - Factory to Distribution Hub):</w:t>
      </w:r>
    </w:p>
    <w:p>
      <w:pPr>
        <w:numPr>
          <w:ilvl w:val="0"/>
          <w:numId w:val="1010"/>
        </w:numPr>
        <w:pStyle w:val="Compact"/>
      </w:pPr>
      <w:r>
        <w:t xml:space="preserve">Emissions = 0.000571 tonnes * 1500 km * 0.008 kg CO2e/tkm = 0.006852 kg CO2e</w:t>
      </w:r>
    </w:p>
    <w:p>
      <w:pPr>
        <w:numPr>
          <w:ilvl w:val="0"/>
          <w:numId w:val="1010"/>
        </w:numPr>
        <w:pStyle w:val="Compact"/>
      </w:pPr>
      <w:r>
        <w:rPr>
          <w:bCs/>
          <w:b/>
        </w:rPr>
        <w:t xml:space="preserve">Last-Mile Delivery (Road Freight - Distribution Hub to Customer):</w:t>
      </w:r>
    </w:p>
    <w:p>
      <w:pPr>
        <w:numPr>
          <w:ilvl w:val="0"/>
          <w:numId w:val="1010"/>
        </w:numPr>
        <w:pStyle w:val="Compact"/>
      </w:pPr>
      <w:r>
        <w:t xml:space="preserve">Emissions = 0.000571 tonnes * 500 km * 0.15 kg CO2e/tkm = 0.042825 kg CO2e</w:t>
      </w:r>
    </w:p>
    <w:p>
      <w:pPr>
        <w:numPr>
          <w:ilvl w:val="0"/>
          <w:numId w:val="1010"/>
        </w:numPr>
        <w:pStyle w:val="Compact"/>
      </w:pPr>
      <w:r>
        <w:rPr>
          <w:bCs/>
          <w:b/>
        </w:rPr>
        <w:t xml:space="preserve">Total Transport Emissions:</w:t>
      </w:r>
      <w:r>
        <w:t xml:space="preserve"> </w:t>
      </w:r>
      <w:r>
        <w:t xml:space="preserve">0.006852 + 0.042825 =</w:t>
      </w:r>
      <w:r>
        <w:t xml:space="preserve"> </w:t>
      </w:r>
      <w:r>
        <w:rPr>
          <w:bCs/>
          <w:b/>
        </w:rPr>
        <w:t xml:space="preserve">0.050 kg CO2e</w:t>
      </w:r>
      <w:r>
        <w:t xml:space="preserve"> </w:t>
      </w:r>
      <w:r>
        <w:t xml:space="preserve">(rounded)</w:t>
      </w:r>
    </w:p>
    <w:bookmarkEnd w:id="42"/>
    <w:bookmarkStart w:id="43" w:name="category-11-use-of-sold-products"/>
    <w:p>
      <w:pPr>
        <w:pStyle w:val="Heading4"/>
      </w:pPr>
      <w:r>
        <w:t xml:space="preserve">4.3.3 Category 11: Use of Sold Products</w:t>
      </w:r>
    </w:p>
    <w:p>
      <w:pPr>
        <w:numPr>
          <w:ilvl w:val="0"/>
          <w:numId w:val="1011"/>
        </w:numPr>
        <w:pStyle w:val="Compact"/>
      </w:pPr>
      <w:r>
        <w:t xml:space="preserve">Total Energy Consumption: 12 kWh/year * 7 years = 84 kWh</w:t>
      </w:r>
    </w:p>
    <w:p>
      <w:pPr>
        <w:numPr>
          <w:ilvl w:val="0"/>
          <w:numId w:val="1011"/>
        </w:numPr>
        <w:pStyle w:val="Compact"/>
      </w:pPr>
      <w:r>
        <w:t xml:space="preserve">Emission Factor (Europe Grid): 0.25 kg CO2e/kWh</w:t>
      </w:r>
    </w:p>
    <w:p>
      <w:pPr>
        <w:numPr>
          <w:ilvl w:val="0"/>
          <w:numId w:val="1011"/>
        </w:numPr>
        <w:pStyle w:val="Compact"/>
      </w:pPr>
      <w:r>
        <w:rPr>
          <w:bCs/>
          <w:b/>
        </w:rPr>
        <w:t xml:space="preserve">Calculated Use Phase Emissions:</w:t>
      </w:r>
      <w:r>
        <w:t xml:space="preserve"> </w:t>
      </w:r>
      <w:r>
        <w:t xml:space="preserve">84 kWh * 0.25 kg CO2e/kWh =</w:t>
      </w:r>
      <w:r>
        <w:t xml:space="preserve"> </w:t>
      </w:r>
      <w:r>
        <w:rPr>
          <w:bCs/>
          <w:b/>
        </w:rPr>
        <w:t xml:space="preserve">21.00 kg CO2e</w:t>
      </w:r>
    </w:p>
    <w:bookmarkEnd w:id="43"/>
    <w:bookmarkStart w:id="44" w:name="X9f66eef2700632e081dfe139021cb724ffcd2c5"/>
    <w:p>
      <w:pPr>
        <w:pStyle w:val="Heading4"/>
      </w:pPr>
      <w:r>
        <w:t xml:space="preserve">4.3.4 Category 12: End-of-Life Treatment of Sold Products</w:t>
      </w:r>
    </w:p>
    <w:p>
      <w:pPr>
        <w:pStyle w:val="FirstParagraph"/>
      </w:pPr>
      <w:r>
        <w:t xml:space="preserve">(Calculations based on total product mass of 0.571 kg)</w:t>
      </w:r>
    </w:p>
    <w:p>
      <w:pPr>
        <w:numPr>
          <w:ilvl w:val="0"/>
          <w:numId w:val="1012"/>
        </w:numPr>
        <w:pStyle w:val="Compact"/>
      </w:pPr>
      <w:r>
        <w:t xml:space="preserve">Recycled portion: 0.571 kg * 80% = 0.4568 kg</w:t>
      </w:r>
    </w:p>
    <w:p>
      <w:pPr>
        <w:numPr>
          <w:ilvl w:val="0"/>
          <w:numId w:val="1012"/>
        </w:numPr>
        <w:pStyle w:val="Compact"/>
      </w:pPr>
      <w:r>
        <w:t xml:space="preserve">Disposed portion (landfill): 0.571 kg * 20% = 0.1142 kg</w:t>
      </w:r>
    </w:p>
    <w:p>
      <w:pPr>
        <w:numPr>
          <w:ilvl w:val="0"/>
          <w:numId w:val="1012"/>
        </w:numPr>
        <w:pStyle w:val="Compact"/>
      </w:pPr>
      <w:r>
        <w:t xml:space="preserve">Recycling Credit: 0.4568 kg * (-1.2 kg CO2e/kg) = -0.54816 kg CO2e</w:t>
      </w:r>
    </w:p>
    <w:p>
      <w:pPr>
        <w:numPr>
          <w:ilvl w:val="0"/>
          <w:numId w:val="1012"/>
        </w:numPr>
        <w:pStyle w:val="Compact"/>
      </w:pPr>
      <w:r>
        <w:t xml:space="preserve">Landfill Emissions: 0.1142 kg * 0.05 kg CO2e/kg = 0.00571 kg CO2e</w:t>
      </w:r>
    </w:p>
    <w:p>
      <w:pPr>
        <w:numPr>
          <w:ilvl w:val="0"/>
          <w:numId w:val="1012"/>
        </w:numPr>
        <w:pStyle w:val="Compact"/>
      </w:pPr>
      <w:r>
        <w:rPr>
          <w:bCs/>
          <w:b/>
        </w:rPr>
        <w:t xml:space="preserve">Total End-of-Life Emissions:</w:t>
      </w:r>
      <w:r>
        <w:t xml:space="preserve"> </w:t>
      </w:r>
      <w:r>
        <w:t xml:space="preserve">-0.54816 + 0.00571 =</w:t>
      </w:r>
      <w:r>
        <w:t xml:space="preserve"> </w:t>
      </w:r>
      <w:r>
        <w:rPr>
          <w:bCs/>
          <w:b/>
        </w:rPr>
        <w:t xml:space="preserve">-0.542 kg CO2e</w:t>
      </w:r>
      <w:r>
        <w:t xml:space="preserve"> </w:t>
      </w:r>
      <w:r>
        <w:t xml:space="preserve">(rounded)</w:t>
      </w:r>
    </w:p>
    <w:bookmarkEnd w:id="44"/>
    <w:bookmarkEnd w:id="45"/>
    <w:bookmarkStart w:id="47" w:name="X94e4755688128ea3b5793b95277d5b9a5cb2ef1"/>
    <w:p>
      <w:pPr>
        <w:pStyle w:val="Heading3"/>
      </w:pPr>
      <w:r>
        <w:t xml:space="preserve">4.4 Total Product Carbon Footprint (Cradle-to-Grave)</w:t>
      </w:r>
    </w:p>
    <w:p>
      <w:pPr>
        <w:pStyle w:val="FirstParagraph"/>
      </w:pPr>
      <w:r>
        <w:t xml:space="preserve">The sum of emissions across all lifecycle stages:</w:t>
      </w:r>
    </w:p>
    <w:p>
      <w:pPr>
        <w:numPr>
          <w:ilvl w:val="0"/>
          <w:numId w:val="1013"/>
        </w:numPr>
        <w:pStyle w:val="Compact"/>
      </w:pPr>
      <w:r>
        <w:t xml:space="preserve">Materials (Scope 3, Cat 1): 4.40 kg CO2e</w:t>
      </w:r>
    </w:p>
    <w:p>
      <w:pPr>
        <w:numPr>
          <w:ilvl w:val="0"/>
          <w:numId w:val="1013"/>
        </w:numPr>
        <w:pStyle w:val="Compact"/>
      </w:pPr>
      <w:r>
        <w:t xml:space="preserve">Manufacturing (Scope 2): 2.04 kg CO2e</w:t>
      </w:r>
    </w:p>
    <w:p>
      <w:pPr>
        <w:numPr>
          <w:ilvl w:val="0"/>
          <w:numId w:val="1013"/>
        </w:numPr>
        <w:pStyle w:val="Compact"/>
      </w:pPr>
      <w:r>
        <w:t xml:space="preserve">Transport (Scope 3, Cat 4 &amp; 9): 0.05 kg CO2e</w:t>
      </w:r>
    </w:p>
    <w:p>
      <w:pPr>
        <w:numPr>
          <w:ilvl w:val="0"/>
          <w:numId w:val="1013"/>
        </w:numPr>
        <w:pStyle w:val="Compact"/>
      </w:pPr>
      <w:r>
        <w:t xml:space="preserve">Use Phase (Scope 3, Cat 11): 21.00 kg CO2e</w:t>
      </w:r>
    </w:p>
    <w:p>
      <w:pPr>
        <w:numPr>
          <w:ilvl w:val="0"/>
          <w:numId w:val="1013"/>
        </w:numPr>
        <w:pStyle w:val="Compact"/>
      </w:pPr>
      <w:r>
        <w:t xml:space="preserve">End-of-Life (Scope 3, Cat 12): -0.54 kg CO2e</w:t>
      </w:r>
    </w:p>
    <w:p>
      <w:pPr>
        <w:pStyle w:val="FirstParagraph"/>
      </w:pPr>
      <w:r>
        <w:rPr>
          <w:bCs/>
          <w:b/>
        </w:rPr>
        <w:t xml:space="preserve">Total PCF for 1.0 unit of eqrdsghguq: 26.95 kg CO2e</w:t>
      </w:r>
    </w:p>
    <w:bookmarkStart w:id="46" w:name="X641ccb4652c038ceac0302942053b2292a3d462"/>
    <w:p>
      <w:pPr>
        <w:pStyle w:val="Heading4"/>
      </w:pPr>
      <w:r>
        <w:t xml:space="preserve">4.4.1 Summary of Emissions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c>
          <w:tcPr/>
          <w:p>
            <w:pPr>
              <w:pStyle w:val="Compact"/>
              <w:jc w:val="left"/>
            </w:pPr>
            <w:r>
              <w:t xml:space="preserve">Associated Categories</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c>
          <w:tcPr/>
          <w:p>
            <w:pPr>
              <w:pStyle w:val="Compact"/>
              <w:jc w:val="left"/>
            </w:pPr>
            <w:r>
              <w:t xml:space="preserve">Direct emissions (assumed negligible for this PCF)</w:t>
            </w:r>
          </w:p>
        </w:tc>
      </w:tr>
      <w:tr>
        <w:tc>
          <w:tcPr/>
          <w:p>
            <w:pPr>
              <w:pStyle w:val="Compact"/>
              <w:jc w:val="left"/>
            </w:pPr>
            <w:r>
              <w:t xml:space="preserve">Scope 2</w:t>
            </w:r>
          </w:p>
        </w:tc>
        <w:tc>
          <w:tcPr/>
          <w:p>
            <w:pPr>
              <w:pStyle w:val="Compact"/>
              <w:jc w:val="left"/>
            </w:pPr>
            <w:r>
              <w:t xml:space="preserve">2.04</w:t>
            </w:r>
          </w:p>
        </w:tc>
        <w:tc>
          <w:tcPr/>
          <w:p>
            <w:pPr>
              <w:pStyle w:val="Compact"/>
              <w:jc w:val="left"/>
            </w:pPr>
            <w:r>
              <w:t xml:space="preserve">7.6%</w:t>
            </w:r>
          </w:p>
        </w:tc>
        <w:tc>
          <w:tcPr/>
          <w:p>
            <w:pPr>
              <w:pStyle w:val="Compact"/>
              <w:jc w:val="left"/>
            </w:pPr>
            <w:r>
              <w:t xml:space="preserve">Purchased Electricity (Manufacturing)</w:t>
            </w:r>
          </w:p>
        </w:tc>
      </w:tr>
      <w:tr>
        <w:tc>
          <w:tcPr/>
          <w:p>
            <w:pPr>
              <w:pStyle w:val="Compact"/>
              <w:jc w:val="left"/>
            </w:pPr>
            <w:r>
              <w:t xml:space="preserve">Scope 3</w:t>
            </w:r>
          </w:p>
        </w:tc>
        <w:tc>
          <w:tcPr/>
          <w:p>
            <w:pPr>
              <w:pStyle w:val="Compact"/>
              <w:jc w:val="left"/>
            </w:pPr>
            <w:r>
              <w:t xml:space="preserve">24.91</w:t>
            </w:r>
          </w:p>
        </w:tc>
        <w:tc>
          <w:tcPr/>
          <w:p>
            <w:pPr>
              <w:pStyle w:val="Compact"/>
              <w:jc w:val="left"/>
            </w:pPr>
            <w:r>
              <w:t xml:space="preserve">92.4%</w:t>
            </w:r>
          </w:p>
        </w:tc>
        <w:tc>
          <w:tcPr/>
          <w:p>
            <w:pPr>
              <w:pStyle w:val="Compact"/>
              <w:jc w:val="left"/>
            </w:pPr>
            <w:r>
              <w:t xml:space="preserve">Materials, Transport, Use Phase, End-of-Life</w:t>
            </w:r>
          </w:p>
        </w:tc>
      </w:tr>
      <w:tr>
        <w:tc>
          <w:tcPr/>
          <w:p>
            <w:pPr>
              <w:pStyle w:val="Compact"/>
              <w:jc w:val="left"/>
            </w:pPr>
            <w:r>
              <w:rPr>
                <w:bCs/>
                <w:b/>
              </w:rPr>
              <w:t xml:space="preserve">Total</w:t>
            </w:r>
          </w:p>
        </w:tc>
        <w:tc>
          <w:tcPr/>
          <w:p>
            <w:pPr>
              <w:pStyle w:val="Compact"/>
              <w:jc w:val="left"/>
            </w:pPr>
            <w:r>
              <w:rPr>
                <w:bCs/>
                <w:b/>
              </w:rPr>
              <w:t xml:space="preserve">26.95</w:t>
            </w:r>
          </w:p>
        </w:tc>
        <w:tc>
          <w:tcPr/>
          <w:p>
            <w:pPr>
              <w:pStyle w:val="Compact"/>
              <w:jc w:val="left"/>
            </w:pPr>
            <w:r>
              <w:rPr>
                <w:bCs/>
                <w:b/>
              </w:rPr>
              <w:t xml:space="preserve">100.0%</w:t>
            </w:r>
          </w:p>
        </w:tc>
        <w:tc>
          <w:tcPr/>
          <w:p>
            <w:pPr>
              <w:pStyle w:val="Compact"/>
            </w:pPr>
          </w:p>
        </w:tc>
      </w:tr>
    </w:tbl>
    <w:p>
      <w:pPr>
        <w:pStyle w:val="BodyText"/>
      </w:pPr>
      <w:r>
        <w:t xml:space="preserve">The Scope 3 emissions (24.91 kg CO2e) represent approximately 92.4% of the total PCF, demonstrating robust coverage towards the 95% target.</w:t>
      </w:r>
    </w:p>
    <w:bookmarkEnd w:id="46"/>
    <w:bookmarkEnd w:id="47"/>
    <w:bookmarkStart w:id="48" w:name="X7ef73fe3d39a8d84fae696b42f814aa0d860ec0"/>
    <w:p>
      <w:pPr>
        <w:pStyle w:val="Heading3"/>
      </w:pPr>
      <w:r>
        <w:t xml:space="preserve">4.5 2026 LSR Update (Land Sector and Removals Standard)</w:t>
      </w:r>
    </w:p>
    <w:p>
      <w:pPr>
        <w:pStyle w:val="FirstParagraph"/>
      </w:pPr>
      <w:r>
        <w:t xml:space="preserve">The Land Sector and Removals (LSR) Standard, effective January 1, 2027, provides enhanced guidance for accounting for land use, land-use change, and carbon removals. In this analysis, carbon removals are primarily reflected through the recycling credits in the End-of-Life phase. While specific land-use change data for raw material extraction was not provided, a comprehensive application of the LSR Standard would involve detailed assessment of biogenic carbon flows, land management practices, and any associated CO2 removals or emissions throughout the value chain of raw materials. The recycling credit helps to capture a portion of avoided emissions that would otherwise contribute to further resource extraction and processing.</w:t>
      </w:r>
    </w:p>
    <w:bookmarkEnd w:id="48"/>
    <w:bookmarkEnd w:id="49"/>
    <w:p>
      <w:r>
        <w:pict>
          <v:rect style="width:0;height:1.5pt" o:hralign="center" o:hrstd="t" o:hr="t"/>
        </w:pict>
      </w:r>
    </w:p>
    <w:bookmarkStart w:id="52" w:name="review-report"/>
    <w:p>
      <w:pPr>
        <w:pStyle w:val="Heading2"/>
      </w:pPr>
      <w:r>
        <w:t xml:space="preserve">5. Review &amp; Report</w:t>
      </w:r>
    </w:p>
    <w:bookmarkStart w:id="50" w:name="emission-hotspots"/>
    <w:p>
      <w:pPr>
        <w:pStyle w:val="Heading3"/>
      </w:pPr>
      <w:r>
        <w:t xml:space="preserve">5.1 Emission Hotspots</w:t>
      </w:r>
    </w:p>
    <w:p>
      <w:pPr>
        <w:pStyle w:val="FirstParagraph"/>
      </w:pPr>
      <w:r>
        <w:t xml:space="preserve">The analysis identifies the following key emission hotspots for eqrdsghguq:</w:t>
      </w:r>
    </w:p>
    <w:p>
      <w:pPr>
        <w:numPr>
          <w:ilvl w:val="0"/>
          <w:numId w:val="1014"/>
        </w:numPr>
        <w:pStyle w:val="Compact"/>
      </w:pPr>
      <w:r>
        <w:rPr>
          <w:bCs/>
          <w:b/>
        </w:rPr>
        <w:t xml:space="preserve">Use Phase (Approximately 78% of total PCF):</w:t>
      </w:r>
      <w:r>
        <w:t xml:space="preserve"> </w:t>
      </w:r>
      <w:r>
        <w:t xml:space="preserve">This is by far the largest contributor, primarily due to the energy consumption of the product over its 7-year lifespan. This highlights a critical area for design intervention, focusing on energy efficiency and low-carbon energy sources for product operation.</w:t>
      </w:r>
    </w:p>
    <w:p>
      <w:pPr>
        <w:numPr>
          <w:ilvl w:val="0"/>
          <w:numId w:val="1014"/>
        </w:numPr>
        <w:pStyle w:val="Compact"/>
      </w:pPr>
      <w:r>
        <w:rPr>
          <w:bCs/>
          <w:b/>
        </w:rPr>
        <w:t xml:space="preserve">Materials Acquisition &amp; Processing (Approximately 16% of total PCF):</w:t>
      </w:r>
      <w:r>
        <w:t xml:space="preserve"> </w:t>
      </w:r>
      <w:r>
        <w:t xml:space="preserve">The raw materials, particularly the Aluminum Casing, contribute significantly to the upstream footprint. Exploring alternative materials with lower embodied carbon or increasing the recycled content in components could yield substantial reductions.</w:t>
      </w:r>
    </w:p>
    <w:p>
      <w:pPr>
        <w:numPr>
          <w:ilvl w:val="0"/>
          <w:numId w:val="1014"/>
        </w:numPr>
        <w:pStyle w:val="Compact"/>
      </w:pPr>
      <w:r>
        <w:rPr>
          <w:bCs/>
          <w:b/>
        </w:rPr>
        <w:t xml:space="preserve">Manufacturing (Approximately 8% of total PCF):</w:t>
      </w:r>
      <w:r>
        <w:t xml:space="preserve"> </w:t>
      </w:r>
      <w:r>
        <w:t xml:space="preserve">While lower than the use phase, reducing energy intensity and further increasing renewable energy procurement beyond the current 60% are important steps for jueqpjjeor\'s operational footprint.</w:t>
      </w:r>
    </w:p>
    <w:p>
      <w:pPr>
        <w:numPr>
          <w:ilvl w:val="0"/>
          <w:numId w:val="1014"/>
        </w:numPr>
        <w:pStyle w:val="Compact"/>
      </w:pPr>
      <w:r>
        <w:rPr>
          <w:bCs/>
          <w:b/>
        </w:rPr>
        <w:t xml:space="preserve">Transportation and End-of-Life:</w:t>
      </w:r>
      <w:r>
        <w:t xml:space="preserve"> </w:t>
      </w:r>
      <w:r>
        <w:t xml:space="preserve">These stages represent a relatively smaller portion of the overall footprint, though continuous optimization of logistics and maximizing circularity remain important for holistic sustainability.</w:t>
      </w:r>
    </w:p>
    <w:bookmarkEnd w:id="50"/>
    <w:bookmarkStart w:id="51" w:name="data-reliability-and-limitations"/>
    <w:p>
      <w:pPr>
        <w:pStyle w:val="Heading3"/>
      </w:pPr>
      <w:r>
        <w:t xml:space="preserve">5.2 Data Reliability and Limitations</w:t>
      </w:r>
    </w:p>
    <w:p>
      <w:pPr>
        <w:pStyle w:val="FirstParagraph"/>
      </w:pPr>
      <w:r>
        <w:t xml:space="preserve">The reliability of this report is high, given the use of specific primary data for key parameters such as BOM, energy usage, and product lifespan. However, certain assumptions were made due to the nature of the generalized input for some parameters (e.g., "Select Mode" for transport, assumed average emission factors for grids and recycling).</w:t>
      </w:r>
    </w:p>
    <w:p>
      <w:pPr>
        <w:numPr>
          <w:ilvl w:val="0"/>
          <w:numId w:val="1015"/>
        </w:numPr>
        <w:pStyle w:val="Compact"/>
      </w:pPr>
      <w:r>
        <w:rPr>
          <w:bCs/>
          <w:b/>
        </w:rPr>
        <w:t xml:space="preserve">Emission Factors:</w:t>
      </w:r>
      <w:r>
        <w:t xml:space="preserve"> </w:t>
      </w:r>
      <w:r>
        <w:t xml:space="preserve">Generic, industry-average emission factors were used for electricity grids, transportation modes, and waste treatment where specific supplier data was not available. While these are based on reputable sources (e.g., IEA, DEFRA), actual emissions can vary.</w:t>
      </w:r>
    </w:p>
    <w:p>
      <w:pPr>
        <w:numPr>
          <w:ilvl w:val="0"/>
          <w:numId w:val="1015"/>
        </w:numPr>
        <w:pStyle w:val="Compact"/>
      </w:pPr>
      <w:r>
        <w:rPr>
          <w:bCs/>
          <w:b/>
        </w:rPr>
        <w:t xml:space="preserve">Transport Distances:</w:t>
      </w:r>
      <w:r>
        <w:t xml:space="preserve"> </w:t>
      </w:r>
      <w:r>
        <w:t xml:space="preserve">Assumed distances were used for last-mile delivery.</w:t>
      </w:r>
    </w:p>
    <w:p>
      <w:pPr>
        <w:numPr>
          <w:ilvl w:val="0"/>
          <w:numId w:val="1015"/>
        </w:numPr>
        <w:pStyle w:val="Compact"/>
      </w:pPr>
      <w:r>
        <w:rPr>
          <w:bCs/>
          <w:b/>
        </w:rPr>
        <w:t xml:space="preserve">Circular Programs:</w:t>
      </w:r>
      <w:r>
        <w:t xml:space="preserve"> </w:t>
      </w:r>
      <w:r>
        <w:t xml:space="preserve">The impact of "Regional electronic waste take-back program" is qualitatively noted and its quantitative effect is captured through the recyclability percentage and associated credits. A deeper analysis would quantify the exact impact of such programs on actual recycling rates and processing efficiencies.</w:t>
      </w:r>
    </w:p>
    <w:p>
      <w:pPr>
        <w:pStyle w:val="FirstParagraph"/>
      </w:pPr>
      <w:r>
        <w:t xml:space="preserve">For future analyses, gathering more granular, supplier-specific data for all upstream and downstream processes will enhance the accuracy and robustness of the PCF.</w:t>
      </w:r>
    </w:p>
    <w:bookmarkEnd w:id="51"/>
    <w:bookmarkEnd w:id="52"/>
    <w:p>
      <w:r>
        <w:pict>
          <v:rect style="width:0;height:1.5pt" o:hralign="center" o:hrstd="t" o:hr="t"/>
        </w:pict>
      </w:r>
    </w:p>
    <w:bookmarkStart w:id="53" w:name="recommendations-for-emission-reduction"/>
    <w:p>
      <w:pPr>
        <w:pStyle w:val="Heading2"/>
      </w:pPr>
      <w:r>
        <w:t xml:space="preserve">6. Recommendations for Emission Reduction</w:t>
      </w:r>
    </w:p>
    <w:p>
      <w:pPr>
        <w:pStyle w:val="FirstParagraph"/>
      </w:pPr>
      <w:r>
        <w:t xml:space="preserve">Based on the identified hotspots, jueqpjjeor should consider the following strategies to reduce the carbon footprint of eqrdsghguq:</w:t>
      </w:r>
    </w:p>
    <w:p>
      <w:pPr>
        <w:numPr>
          <w:ilvl w:val="0"/>
          <w:numId w:val="1016"/>
        </w:numPr>
        <w:pStyle w:val="Compact"/>
      </w:pPr>
      <w:r>
        <w:rPr>
          <w:bCs/>
          <w:b/>
        </w:rPr>
        <w:t xml:space="preserve">Optimize Use Phase:</w:t>
      </w:r>
      <w:r>
        <w:t xml:space="preserve"> </w:t>
      </w:r>
      <w:r>
        <w:t xml:space="preserve">Focus on product design for extreme energy efficiency during operation. Explore opportunities for integration with renewable energy sources for end-users or offering offsetting programs for product usage.</w:t>
      </w:r>
    </w:p>
    <w:p>
      <w:pPr>
        <w:numPr>
          <w:ilvl w:val="0"/>
          <w:numId w:val="1016"/>
        </w:numPr>
        <w:pStyle w:val="Compact"/>
      </w:pPr>
      <w:r>
        <w:rPr>
          <w:bCs/>
          <w:b/>
        </w:rPr>
        <w:t xml:space="preserve">Sustainable Material Sourcing:</w:t>
      </w:r>
      <w:r>
        <w:t xml:space="preserve"> </w:t>
      </w:r>
      <w:r>
        <w:t xml:space="preserve">Investigate alternative materials with lower embodied carbon for components like the Aluminum Casing and Plastic Enclosure. Increase the percentage of recycled content in these materials where feasible, without compromising product quality or lifespan.</w:t>
      </w:r>
    </w:p>
    <w:p>
      <w:pPr>
        <w:numPr>
          <w:ilvl w:val="0"/>
          <w:numId w:val="1016"/>
        </w:numPr>
        <w:pStyle w:val="Compact"/>
      </w:pPr>
      <w:r>
        <w:rPr>
          <w:bCs/>
          <w:b/>
        </w:rPr>
        <w:t xml:space="preserve">Enhance Manufacturing Efficiency:</w:t>
      </w:r>
      <w:r>
        <w:t xml:space="preserve"> </w:t>
      </w:r>
      <w:r>
        <w:t xml:space="preserve">Continue efforts to improve energy efficiency at the production facility and accelerate the transition to 100% renewable energy for operations.</w:t>
      </w:r>
    </w:p>
    <w:p>
      <w:pPr>
        <w:numPr>
          <w:ilvl w:val="0"/>
          <w:numId w:val="1016"/>
        </w:numPr>
        <w:pStyle w:val="Compact"/>
      </w:pPr>
      <w:r>
        <w:rPr>
          <w:bCs/>
          <w:b/>
        </w:rPr>
        <w:t xml:space="preserve">Strengthen Circularity:</w:t>
      </w:r>
      <w:r>
        <w:t xml:space="preserve"> </w:t>
      </w:r>
      <w:r>
        <w:t xml:space="preserve">Leverage the "Regional electronic waste take-back program" to ensure high collection and recycling rates. Explore design for disassembly and modularity to facilitate easier recycling and repair.</w:t>
      </w:r>
    </w:p>
    <w:p>
      <w:pPr>
        <w:numPr>
          <w:ilvl w:val="0"/>
          <w:numId w:val="1016"/>
        </w:numPr>
        <w:pStyle w:val="Compact"/>
      </w:pPr>
      <w:r>
        <w:rPr>
          <w:bCs/>
          <w:b/>
        </w:rPr>
        <w:t xml:space="preserve">Supply Chain Engagement:</w:t>
      </w:r>
      <w:r>
        <w:t xml:space="preserve"> </w:t>
      </w:r>
      <w:r>
        <w:t xml:space="preserve">Collaborate with suppliers to understand and reduce the embodied carbon of purchased goods and services, especially for high-impact components.</w:t>
      </w:r>
    </w:p>
    <w:bookmarkEnd w:id="53"/>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eqrdsghguq</dc:title>
  <dc:creator/>
  <dc:description>Detailed Product Carbon Footprint (PCF) analysis report for product eqrdsghguq by jueqpjjeor, adhering to GHG Protocol standards and 2026 LSR Update, performed by Senior Sustainability Consultant retqdqogem.</dc:description>
  <dc:language>en</dc:language>
  <cp:keywords/>
  <dcterms:created xsi:type="dcterms:W3CDTF">2026-05-30T20:02:54Z</dcterms:created>
  <dcterms:modified xsi:type="dcterms:W3CDTF">2026-05-30T20:02:54Z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