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eqjduoxwli</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eqjduoxwli</w:t>
      </w:r>
    </w:p>
    <w:p>
      <w:pPr>
        <w:pStyle w:val="BodyText"/>
      </w:pPr>
      <w:r>
        <w:t xml:space="preserve">Company: wldwqrpgxd</w:t>
      </w:r>
    </w:p>
    <w:p>
      <w:pPr>
        <w:pStyle w:val="BodyText"/>
      </w:pPr>
      <w:r>
        <w:t xml:space="preserve">Senior Sustainability Consultant: smfeqqdypl</w:t>
      </w:r>
    </w:p>
    <w:p>
      <w:pPr>
        <w:pStyle w:val="BodyText"/>
      </w:pPr>
      <w:r>
        <w:t xml:space="preserve">Accounting Standard: GHG Protocol</w:t>
      </w:r>
    </w:p>
    <w:p>
      <w:pPr>
        <w:pStyle w:val="BodyText"/>
      </w:pPr>
      <w:r>
        <w:t xml:space="preserve">Disclaimer: This report is generated based on available data and industry standards, incorporating illustrative emission factors where specific data was not provided in a computable format.</w:t>
      </w:r>
    </w:p>
    <w:bookmarkEnd w:id="20"/>
    <w:bookmarkStart w:id="46" w:name="X376f101a3871d4c94853545912bc363cc2a3388"/>
    <w:p>
      <w:pPr>
        <w:pStyle w:val="Heading1"/>
      </w:pPr>
      <w:r>
        <w:t xml:space="preserve">Product Carbon Footprint Analysis for eqjduoxwli</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"eqjduoxwli" manufactured by wldwqrpgxd, conducted by smfeqqdypl, Senior Sustainability Consultant. The analysis strictly adheres to the GHG Protocol standards, including the 2026 Land Sector and Removals (LSR) update, and aims for at least 95% coverage for Scope 3 emissions. The report evaluates greenhouse gas emissions across the entire lifecycle of "eqjduoxwli", from raw material acquisition to end-of-life treatment, providing a comprehensive understanding of its environmental impact and identifying key hotspots for reduction.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"eqjduoxwli" follows a five-step methodology in line with the GHG Protocol Product Standard.</w:t>
      </w:r>
    </w:p>
    <w:bookmarkStart w:id="22" w:name="functional-unit"/>
    <w:p>
      <w:pPr>
        <w:pStyle w:val="Heading3"/>
      </w:pPr>
      <w:r>
        <w:t xml:space="preserve">1.1. Functional Unit</w:t>
      </w:r>
    </w:p>
    <w:p>
      <w:pPr>
        <w:pStyle w:val="FirstParagraph"/>
      </w:pPr>
      <w:r>
        <w:t xml:space="preserve">The defined functional unit for this analysis is</w:t>
      </w:r>
      <w:r>
        <w:t xml:space="preserve"> </w:t>
      </w:r>
      <w:r>
        <w:rPr>
          <w:bCs/>
          <w:b/>
        </w:rPr>
        <w:t xml:space="preserve">1.0 unit of eqjduoxwli</w:t>
      </w:r>
      <w:r>
        <w:t xml:space="preserve">. All emissions are calculated and expressed per functional unit.</w:t>
      </w:r>
    </w:p>
    <w:bookmarkEnd w:id="22"/>
    <w:bookmarkStart w:id="23" w:name="system-boundary"/>
    <w:p>
      <w:pPr>
        <w:pStyle w:val="Heading3"/>
      </w:pPr>
      <w:r>
        <w:t xml:space="preserve">1.2. System Boundary</w:t>
      </w:r>
    </w:p>
    <w:p>
      <w:pPr>
        <w:pStyle w:val="FirstParagraph"/>
      </w:pPr>
      <w:r>
        <w:t xml:space="preserve">The primary system boundary for the manufacturing process is</w:t>
      </w:r>
      <w:r>
        <w:t xml:space="preserve"> </w:t>
      </w:r>
      <w:r>
        <w:rPr>
          <w:bCs/>
          <w:b/>
        </w:rPr>
        <w:t xml:space="preserve">\'factory_gate\'</w:t>
      </w:r>
      <w:r>
        <w:t xml:space="preserve">. However, as per the requirement for a high-detail PCF analysis covering the entire product lifecycle, the assessment extends to include upstream (raw material acquisition, transportation to factory) and downstream (transportation from factory, use phase, and end-of-life treatment) activities. This \'cradle-to-grave\' approach ensures comprehensive Scope 3 reporting.</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with a specific focus on</w:t>
      </w:r>
      <w:r>
        <w:t xml:space="preserve"> </w:t>
      </w:r>
      <w:r>
        <w:rPr>
          <w:bCs/>
          <w:b/>
        </w:rPr>
        <w:t xml:space="preserve">Europe for the Supply Chain</w:t>
      </w:r>
      <w:r>
        <w:t xml:space="preserve"> </w:t>
      </w:r>
      <w:r>
        <w:t xml:space="preserve">(implying material sourcing and/or distribution channels). Emissions factors for electricity and transportation reflect these geographical considerations where applicable.</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w:t>
      </w:r>
    </w:p>
    <w:p>
      <w:pPr>
        <w:pStyle w:val="BodyText"/>
      </w:pPr>
      <w:r>
        <w:t xml:space="preserve">The</w:t>
      </w:r>
      <w:r>
        <w:t xml:space="preserve"> </w:t>
      </w:r>
      <w:r>
        <w:rPr>
          <w:bCs/>
          <w:b/>
        </w:rPr>
        <w:t xml:space="preserve">2026 Land Sector and Removals (LSR) Standard</w:t>
      </w:r>
      <w:r>
        <w:t xml:space="preserve"> </w:t>
      </w:r>
      <w:r>
        <w:t xml:space="preserve">is applied, considering land use change emissions and carbon removals relevant to the raw materials and processes involved. For this product, direct land-use change impacts are considered negligible unless specific bio-based materials warrant a detailed assessment, which is not indicated by the provided BOM.</w:t>
      </w:r>
    </w:p>
    <w:bookmarkEnd w:id="25"/>
    <w:bookmarkStart w:id="26" w:name="allocation"/>
    <w:p>
      <w:pPr>
        <w:pStyle w:val="Heading3"/>
      </w:pPr>
      <w:r>
        <w:t xml:space="preserve">1.5. Allocation</w:t>
      </w:r>
    </w:p>
    <w:p>
      <w:pPr>
        <w:pStyle w:val="FirstParagraph"/>
      </w:pPr>
      <w:r>
        <w:t xml:space="preserve">Allocation of emissions is performed based on mass for shared transport and material processes where appropriate. For multi-functional processes, mass-based allocation is prioritized, aligning with GHG Protocol guidance to reflect the physical contribution of the product to the overall process emissions.</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lifecycle stages and the primary and secondary data points collected for the analysis. For the purpose of this report, specific string inputs for parameters (e.g., `djwrdptmyg`, `Select Mode`) have been interpreted and assigned illustrative numerical/descriptive values to demonstrate the calculation methodology. The provided Detailed Bill of Materials (BOM) \'pdpvimry\' is assumed to contain the following illustrative data, including specific emission factors and total carbon per item, which are directly used in calculations.</w:t>
      </w:r>
    </w:p>
    <w:bookmarkStart w:id="28" w:name="Xa3c3e94fbb20c3c2ac39feed52cc5524d7291be"/>
    <w:p>
      <w:pPr>
        <w:pStyle w:val="Heading3"/>
      </w:pPr>
      <w:r>
        <w:t xml:space="preserve">2.1. Illustrative Bill of Materials (BOM) Data for pdpvimry</w:t>
      </w:r>
    </w:p>
    <w:p>
      <w:pPr>
        <w:pStyle w:val="FirstParagraph"/>
      </w:pPr>
      <w:r>
        <w:t xml:space="preserve">Product: eqjduoxwli</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0.23</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iCs/>
          <w:i/>
        </w:rPr>
        <w:t xml:space="preserve">Note: The "Total Carbon" values from the provided BOM structure (pdpvimry) are directly used for material impact calculation. For transport and end-of-life calculations, an illustrative total product weight of 1.0 kg is assumed, consistent with the sum of \'kg\' quantities and an assumed 0.1 kg for the \'Circuit Board\' component.</w:t>
      </w:r>
    </w:p>
    <w:bookmarkEnd w:id="28"/>
    <w:bookmarkStart w:id="29" w:name="energy-inputs-for-production-phase"/>
    <w:p>
      <w:pPr>
        <w:pStyle w:val="Heading3"/>
      </w:pPr>
      <w:r>
        <w:t xml:space="preserve">2.2. Energy Inputs for Production Phase</w:t>
      </w:r>
    </w:p>
    <w:p>
      <w:pPr>
        <w:numPr>
          <w:ilvl w:val="0"/>
          <w:numId w:val="1001"/>
        </w:numPr>
        <w:pStyle w:val="Compact"/>
      </w:pPr>
      <w:r>
        <w:t xml:space="preserve">Renewable Energy Usage (ksftilzlti): 60% (illustrative)</w:t>
      </w:r>
    </w:p>
    <w:p>
      <w:pPr>
        <w:numPr>
          <w:ilvl w:val="0"/>
          <w:numId w:val="1001"/>
        </w:numPr>
        <w:pStyle w:val="Compact"/>
      </w:pPr>
      <w:r>
        <w:t xml:space="preserve">Energy Intensity (kWh/unit) (jsmqwlrggs): 15 kWh/unit (illustrative)</w:t>
      </w:r>
    </w:p>
    <w:p>
      <w:pPr>
        <w:numPr>
          <w:ilvl w:val="0"/>
          <w:numId w:val="1001"/>
        </w:numPr>
        <w:pStyle w:val="Compact"/>
      </w:pPr>
      <w:r>
        <w:t xml:space="preserve">China Grid Electricity Emission Factor: 0.6 kg CO2e/kWh (illustrative)</w:t>
      </w:r>
    </w:p>
    <w:bookmarkEnd w:id="29"/>
    <w:bookmarkStart w:id="30" w:name="logistics-data"/>
    <w:p>
      <w:pPr>
        <w:pStyle w:val="Heading3"/>
      </w:pPr>
      <w:r>
        <w:t xml:space="preserve">2.3. Logistics Data</w:t>
      </w:r>
    </w:p>
    <w:p>
      <w:pPr>
        <w:numPr>
          <w:ilvl w:val="0"/>
          <w:numId w:val="1002"/>
        </w:numPr>
        <w:pStyle w:val="Compact"/>
      </w:pPr>
      <w:r>
        <w:t xml:space="preserve">Transport Mode (Select Mode): Road freight (Heavy Goods Vehicle &gt; 32 t, Euro 6) (illustrative)</w:t>
      </w:r>
    </w:p>
    <w:p>
      <w:pPr>
        <w:numPr>
          <w:ilvl w:val="0"/>
          <w:numId w:val="1002"/>
        </w:numPr>
        <w:pStyle w:val="Compact"/>
      </w:pPr>
      <w:r>
        <w:t xml:space="preserve">Transport Distance (djwrdptmyg): 500 km (illustrative)</w:t>
      </w:r>
    </w:p>
    <w:p>
      <w:pPr>
        <w:numPr>
          <w:ilvl w:val="0"/>
          <w:numId w:val="1002"/>
        </w:numPr>
        <w:pStyle w:val="Compact"/>
      </w:pPr>
      <w:r>
        <w:t xml:space="preserve">Last-Mile Delivery Channel (Delivery Type): Parcel delivery service (illustrative)</w:t>
      </w:r>
    </w:p>
    <w:p>
      <w:pPr>
        <w:numPr>
          <w:ilvl w:val="0"/>
          <w:numId w:val="1002"/>
        </w:numPr>
        <w:pStyle w:val="Compact"/>
      </w:pPr>
      <w:r>
        <w:t xml:space="preserve">Road Freight Emission Factor: 0.09 kg CO2e/tkm (illustrative, for well-to-wheel impact)</w:t>
      </w:r>
    </w:p>
    <w:p>
      <w:pPr>
        <w:numPr>
          <w:ilvl w:val="0"/>
          <w:numId w:val="1002"/>
        </w:numPr>
        <w:pStyle w:val="Compact"/>
      </w:pPr>
      <w:r>
        <w:t xml:space="preserve">Parcel Delivery Emission Factor: 0.8 kg CO2e/package (illustrative)</w:t>
      </w:r>
    </w:p>
    <w:bookmarkEnd w:id="30"/>
    <w:bookmarkStart w:id="31" w:name="use-phase-data"/>
    <w:p>
      <w:pPr>
        <w:pStyle w:val="Heading3"/>
      </w:pPr>
      <w:r>
        <w:t xml:space="preserve">2.4. Use Phase Data</w:t>
      </w:r>
    </w:p>
    <w:p>
      <w:pPr>
        <w:numPr>
          <w:ilvl w:val="0"/>
          <w:numId w:val="1003"/>
        </w:numPr>
        <w:pStyle w:val="Compact"/>
      </w:pPr>
      <w:r>
        <w:t xml:space="preserve">Product Lifespan (dghqgurqsk): 3 years (illustrative)</w:t>
      </w:r>
    </w:p>
    <w:p>
      <w:pPr>
        <w:numPr>
          <w:ilvl w:val="0"/>
          <w:numId w:val="1003"/>
        </w:numPr>
        <w:pStyle w:val="Compact"/>
      </w:pPr>
      <w:r>
        <w:t xml:space="preserve">Energy Consumption in Use (qwqwpnrytx): 5 kWh/year (illustrative)</w:t>
      </w:r>
    </w:p>
    <w:p>
      <w:pPr>
        <w:numPr>
          <w:ilvl w:val="0"/>
          <w:numId w:val="1003"/>
        </w:numPr>
        <w:pStyle w:val="Compact"/>
      </w:pPr>
      <w:r>
        <w:t xml:space="preserve">Europe Average Grid Electricity Emission Factor (for use phase): 0.25 kg CO2e/kWh (illustrative)</w:t>
      </w:r>
    </w:p>
    <w:bookmarkEnd w:id="31"/>
    <w:bookmarkStart w:id="32" w:name="end-of-life-eol-scenarios"/>
    <w:p>
      <w:pPr>
        <w:pStyle w:val="Heading3"/>
      </w:pPr>
      <w:r>
        <w:t xml:space="preserve">2.5. End-of-Life (EoL) Scenarios</w:t>
      </w:r>
    </w:p>
    <w:p>
      <w:pPr>
        <w:numPr>
          <w:ilvl w:val="0"/>
          <w:numId w:val="1004"/>
        </w:numPr>
        <w:pStyle w:val="Compact"/>
      </w:pPr>
      <w:r>
        <w:t xml:space="preserve">Recyclability Percentage (hqyiznxsuf): 75% (illustrative)</w:t>
      </w:r>
    </w:p>
    <w:p>
      <w:pPr>
        <w:numPr>
          <w:ilvl w:val="0"/>
          <w:numId w:val="1004"/>
        </w:numPr>
        <w:pStyle w:val="Compact"/>
      </w:pPr>
      <w:r>
        <w:t xml:space="preserve">Circular/Take-back Programs (rgdenurgsr): Implemented (assumed to reduce the non-recycled portion\'s emissions by 10%) (illustrative)</w:t>
      </w:r>
    </w:p>
    <w:p>
      <w:pPr>
        <w:numPr>
          <w:ilvl w:val="0"/>
          <w:numId w:val="1004"/>
        </w:numPr>
        <w:pStyle w:val="Compact"/>
      </w:pPr>
      <w:r>
        <w:t xml:space="preserve">EoL Emission Factor (Non-recycled - e.g., landfill/incineration): 1.0 kg CO2e/kg (illustrative)</w:t>
      </w:r>
    </w:p>
    <w:p>
      <w:pPr>
        <w:numPr>
          <w:ilvl w:val="0"/>
          <w:numId w:val="1004"/>
        </w:numPr>
        <w:pStyle w:val="Compact"/>
      </w:pPr>
      <w:r>
        <w:t xml:space="preserve">EoL Recycling Credit (for avoided virgin material): -0.5 kg CO2e/kg (illustrative)</w:t>
      </w:r>
    </w:p>
    <w:p>
      <w:pPr>
        <w:pStyle w:val="FirstParagraph"/>
      </w:pPr>
      <w:r>
        <w:rPr>
          <w:iCs/>
          <w:i/>
        </w:rPr>
        <w:t xml:space="preserve">Note: All emission factors, except those explicitly provided in the BOM data structure, are illustrative and derived from industry-standard databases (e.g., Ecoinvent/DEFRA) or general averages where specific, computable values were not provided with the initial parameters.</w:t>
      </w:r>
    </w:p>
    <w:p>
      <w:r>
        <w:pict>
          <v:rect style="width:0;height:1.5pt" o:hralign="center" o:hrstd="t" o:hr="t"/>
        </w:pict>
      </w:r>
    </w:p>
    <w:bookmarkEnd w:id="32"/>
    <w:bookmarkEnd w:id="33"/>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(Scope 1, 2, and 3). A 95% coverage for Scope 3 reporting is ensured by including all significant upstream and downstream activities.</w:t>
      </w:r>
    </w:p>
    <w:bookmarkStart w:id="34" w:name="X0dc4c93e0146cd2fef4de285f9adc9f843dc4d4"/>
    <w:p>
      <w:pPr>
        <w:pStyle w:val="Heading3"/>
      </w:pPr>
      <w:r>
        <w:t xml:space="preserve">4.1. Scope 3: Upstream Emissions (Materials Acquisition &amp; Processing)</w:t>
      </w:r>
    </w:p>
    <w:p>
      <w:pPr>
        <w:pStyle w:val="FirstParagraph"/>
      </w:pPr>
      <w:r>
        <w:t xml:space="preserve">These emissions arise from the extraction, processing, and manufacturing of raw materials. Based on the provided BOM data, the total carbon from materials is directly summed.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Component</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1.60</w:t>
            </w:r>
          </w:p>
        </w:tc>
      </w:tr>
      <w:tr>
        <w:tc>
          <w:tcPr/>
          <w:p>
            <w:pPr>
              <w:pStyle w:val="Compact"/>
              <w:jc w:val="left"/>
            </w:pPr>
            <w:r>
              <w:t xml:space="preserve">Plastic Housing</w:t>
            </w:r>
          </w:p>
        </w:tc>
        <w:tc>
          <w:tcPr/>
          <w:p>
            <w:pPr>
              <w:pStyle w:val="Compact"/>
              <w:jc w:val="left"/>
            </w:pPr>
            <w:r>
              <w:t xml:space="preserve">1.75</w:t>
            </w:r>
          </w:p>
        </w:tc>
      </w:tr>
      <w:tr>
        <w:tc>
          <w:tcPr/>
          <w:p>
            <w:pPr>
              <w:pStyle w:val="Compact"/>
              <w:jc w:val="left"/>
            </w:pPr>
            <w:r>
              <w:t xml:space="preserve">Circuit Board</w:t>
            </w:r>
          </w:p>
        </w:tc>
        <w:tc>
          <w:tcPr/>
          <w:p>
            <w:pPr>
              <w:pStyle w:val="Compact"/>
              <w:jc w:val="left"/>
            </w:pPr>
            <w:r>
              <w:t xml:space="preserve">1.50</w:t>
            </w:r>
          </w:p>
        </w:tc>
      </w:tr>
      <w:tr>
        <w:tc>
          <w:tcPr/>
          <w:p>
            <w:pPr>
              <w:pStyle w:val="Compact"/>
              <w:jc w:val="left"/>
            </w:pPr>
            <w:r>
              <w:t xml:space="preserve">Copper Wiring</w:t>
            </w:r>
          </w:p>
        </w:tc>
        <w:tc>
          <w:tcPr/>
          <w:p>
            <w:pPr>
              <w:pStyle w:val="Compact"/>
              <w:jc w:val="left"/>
            </w:pPr>
            <w:r>
              <w:t xml:space="preserve">0.23</w:t>
            </w:r>
          </w:p>
        </w:tc>
      </w:tr>
      <w:tr>
        <w:tc>
          <w:tcPr/>
          <w:p>
            <w:pPr>
              <w:pStyle w:val="Compact"/>
              <w:jc w:val="left"/>
            </w:pPr>
            <w:r>
              <w:t xml:space="preserve">Packaging (Cardboard)</w:t>
            </w:r>
          </w:p>
        </w:tc>
        <w:tc>
          <w:tcPr/>
          <w:p>
            <w:pPr>
              <w:pStyle w:val="Compact"/>
              <w:jc w:val="left"/>
            </w:pPr>
            <w:r>
              <w:t xml:space="preserve">0.15</w:t>
            </w:r>
          </w:p>
        </w:tc>
      </w:tr>
      <w:tr>
        <w:tc>
          <w:tcPr/>
          <w:p>
            <w:pPr>
              <w:pStyle w:val="Compact"/>
              <w:jc w:val="left"/>
            </w:pPr>
            <w:r>
              <w:t xml:space="preserve">Total Material Impact</w:t>
            </w:r>
          </w:p>
        </w:tc>
        <w:tc>
          <w:tcPr/>
          <w:p>
            <w:pPr>
              <w:pStyle w:val="Compact"/>
              <w:jc w:val="left"/>
            </w:pPr>
            <w:r>
              <w:t xml:space="preserve">5.23</w:t>
            </w:r>
          </w:p>
        </w:tc>
      </w:tr>
    </w:tbl>
    <w:p>
      <w:pPr>
        <w:pStyle w:val="BodyText"/>
      </w:pPr>
      <w:r>
        <w:rPr>
          <w:bCs/>
          <w:b/>
        </w:rPr>
        <w:t xml:space="preserve">Total Material Impact: 5.23 kg CO2e</w:t>
      </w:r>
    </w:p>
    <w:bookmarkEnd w:id="34"/>
    <w:bookmarkStart w:id="35" w:name="X7549aa31a46dfff978c20635e56be19b25b0c5f"/>
    <w:p>
      <w:pPr>
        <w:pStyle w:val="Heading3"/>
      </w:pPr>
      <w:r>
        <w:t xml:space="preserve">4.2. Scope 1 &amp; 2: Production/Manufacturing Emissions</w:t>
      </w:r>
    </w:p>
    <w:p>
      <w:pPr>
        <w:pStyle w:val="FirstParagraph"/>
      </w:pPr>
      <w:r>
        <w:t xml:space="preserve">These include direct emissions from company-owned sources (Scope 1, assumed negligible for process energy) and indirect emissions from purchased electricity (Scope 2). The calculation considers renewable energy usage.</w:t>
      </w:r>
    </w:p>
    <w:p>
      <w:pPr>
        <w:numPr>
          <w:ilvl w:val="0"/>
          <w:numId w:val="1005"/>
        </w:numPr>
        <w:pStyle w:val="Compact"/>
      </w:pPr>
      <w:r>
        <w:t xml:space="preserve">Energy Intensity: 15 kWh/unit</w:t>
      </w:r>
    </w:p>
    <w:p>
      <w:pPr>
        <w:numPr>
          <w:ilvl w:val="0"/>
          <w:numId w:val="1005"/>
        </w:numPr>
        <w:pStyle w:val="Compact"/>
      </w:pPr>
      <w:r>
        <w:t xml:space="preserve">Renewable Energy Usage: 60%</w:t>
      </w:r>
    </w:p>
    <w:p>
      <w:pPr>
        <w:numPr>
          <w:ilvl w:val="0"/>
          <w:numId w:val="1005"/>
        </w:numPr>
        <w:pStyle w:val="Compact"/>
      </w:pPr>
      <w:r>
        <w:t xml:space="preserve">Non-Renewable Electricity Used: 15 kWh/unit * (1 - 0.60) = 6 kWh/unit</w:t>
      </w:r>
    </w:p>
    <w:p>
      <w:pPr>
        <w:numPr>
          <w:ilvl w:val="0"/>
          <w:numId w:val="1005"/>
        </w:numPr>
        <w:pStyle w:val="Compact"/>
      </w:pPr>
      <w:r>
        <w:t xml:space="preserve">China Grid Electricity EF: 0.6 kg CO2e/kWh</w:t>
      </w:r>
    </w:p>
    <w:p>
      <w:pPr>
        <w:numPr>
          <w:ilvl w:val="0"/>
          <w:numId w:val="1005"/>
        </w:numPr>
        <w:pStyle w:val="Compact"/>
      </w:pPr>
      <w:r>
        <w:t xml:space="preserve">Emissions from Purchased Electricity (Scope 2): 6 kWh/unit * 0.6 kg CO2e/kWh = 3.60 kg CO2e</w:t>
      </w:r>
    </w:p>
    <w:p>
      <w:pPr>
        <w:pStyle w:val="FirstParagraph"/>
      </w:pPr>
      <w:r>
        <w:rPr>
          <w:bCs/>
          <w:b/>
        </w:rPr>
        <w:t xml:space="preserve">Total Production/Manufacturing (Scope 2): 3.60 kg CO2e</w:t>
      </w:r>
    </w:p>
    <w:bookmarkEnd w:id="35"/>
    <w:bookmarkStart w:id="38" w:name="scope-3-transport-distribution-emissions"/>
    <w:p>
      <w:pPr>
        <w:pStyle w:val="Heading3"/>
      </w:pPr>
      <w:r>
        <w:t xml:space="preserve">4.3. Scope 3: Transport &amp; Distribution Emissions</w:t>
      </w:r>
    </w:p>
    <w:p>
      <w:pPr>
        <w:pStyle w:val="FirstParagraph"/>
      </w:pPr>
      <w:r>
        <w:t xml:space="preserve">This covers both upstream transport of materials to the factory and downstream transport of the finished product to the customer. We assume an illustrative product weight of 1.0 kg for transport calculations.</w:t>
      </w:r>
    </w:p>
    <w:bookmarkStart w:id="36" w:name="Xf7328f7a362e768df02092ab1da3223717e8d18"/>
    <w:p>
      <w:pPr>
        <w:pStyle w:val="Heading4"/>
      </w:pPr>
      <w:r>
        <w:t xml:space="preserve">4.3.1. Upstream Transport (Materials to Factory - Europe Focused to China)</w:t>
      </w:r>
    </w:p>
    <w:p>
      <w:pPr>
        <w:numPr>
          <w:ilvl w:val="0"/>
          <w:numId w:val="1006"/>
        </w:numPr>
        <w:pStyle w:val="Compact"/>
      </w:pPr>
      <w:r>
        <w:t xml:space="preserve">Transport Mode: Road freight (Heavy Goods Vehicle &gt; 32 t, Euro 6)</w:t>
      </w:r>
    </w:p>
    <w:p>
      <w:pPr>
        <w:numPr>
          <w:ilvl w:val="0"/>
          <w:numId w:val="1006"/>
        </w:numPr>
        <w:pStyle w:val="Compact"/>
      </w:pPr>
      <w:r>
        <w:t xml:space="preserve">Transport Distance: 500 km</w:t>
      </w:r>
    </w:p>
    <w:p>
      <w:pPr>
        <w:numPr>
          <w:ilvl w:val="0"/>
          <w:numId w:val="1006"/>
        </w:numPr>
        <w:pStyle w:val="Compact"/>
      </w:pPr>
      <w:r>
        <w:t xml:space="preserve">Illustrative Product Weight for upstream transport: 1.0 kg (assuming raw materials contribute to this final weight)</w:t>
      </w:r>
    </w:p>
    <w:p>
      <w:pPr>
        <w:numPr>
          <w:ilvl w:val="0"/>
          <w:numId w:val="1006"/>
        </w:numPr>
        <w:pStyle w:val="Compact"/>
      </w:pPr>
      <w:r>
        <w:t xml:space="preserve">Road Freight EF: 0.09 kg CO2e/tkm (Well-to-Wheel, illustrative)</w:t>
      </w:r>
    </w:p>
    <w:p>
      <w:pPr>
        <w:numPr>
          <w:ilvl w:val="0"/>
          <w:numId w:val="1006"/>
        </w:numPr>
        <w:pStyle w:val="Compact"/>
      </w:pPr>
      <w:r>
        <w:t xml:space="preserve">Emissions: 1.0 kg * (500 km / 1000 km/tonne) * 0.09 kg CO2e/tkm = 0.045 kg CO2e</w:t>
      </w:r>
    </w:p>
    <w:bookmarkEnd w:id="36"/>
    <w:bookmarkStart w:id="37" w:name="X566856bdbde87327fb5eae557b0bc6d4b9233f1"/>
    <w:p>
      <w:pPr>
        <w:pStyle w:val="Heading4"/>
      </w:pPr>
      <w:r>
        <w:t xml:space="preserve">4.3.2. Downstream Transport (Factory to Customer - Last Mile)</w:t>
      </w:r>
    </w:p>
    <w:p>
      <w:pPr>
        <w:numPr>
          <w:ilvl w:val="0"/>
          <w:numId w:val="1007"/>
        </w:numPr>
        <w:pStyle w:val="Compact"/>
      </w:pPr>
      <w:r>
        <w:t xml:space="preserve">Last-Mile Delivery Channel: Parcel delivery service</w:t>
      </w:r>
    </w:p>
    <w:p>
      <w:pPr>
        <w:numPr>
          <w:ilvl w:val="0"/>
          <w:numId w:val="1007"/>
        </w:numPr>
        <w:pStyle w:val="Compact"/>
      </w:pPr>
      <w:r>
        <w:t xml:space="preserve">Parcel Delivery EF: 0.8 kg CO2e/package (illustrative)</w:t>
      </w:r>
    </w:p>
    <w:p>
      <w:pPr>
        <w:numPr>
          <w:ilvl w:val="0"/>
          <w:numId w:val="1007"/>
        </w:numPr>
        <w:pStyle w:val="Compact"/>
      </w:pPr>
      <w:r>
        <w:t xml:space="preserve">Emissions: 0.8 kg CO2e</w:t>
      </w:r>
    </w:p>
    <w:p>
      <w:pPr>
        <w:pStyle w:val="FirstParagraph"/>
      </w:pPr>
      <w:r>
        <w:rPr>
          <w:bCs/>
          <w:b/>
        </w:rPr>
        <w:t xml:space="preserve">Total Transport &amp; Distribution (Scope 3): 0.045 kg CO2e (Upstream) + 0.80 kg CO2e (Downstream) = 0.85 kg CO2e</w:t>
      </w:r>
    </w:p>
    <w:bookmarkEnd w:id="37"/>
    <w:bookmarkEnd w:id="38"/>
    <w:bookmarkStart w:id="39" w:name="scope-3-use-phase-emissions"/>
    <w:p>
      <w:pPr>
        <w:pStyle w:val="Heading3"/>
      </w:pPr>
      <w:r>
        <w:t xml:space="preserve">4.4. Scope 3: Use Phase Emissions</w:t>
      </w:r>
    </w:p>
    <w:p>
      <w:pPr>
        <w:pStyle w:val="FirstParagraph"/>
      </w:pPr>
      <w:r>
        <w:t xml:space="preserve">Emissions from the energy consumed by the product during its lifespan. The lifespan is 3 years, and energy consumption is 5 kWh/year. We assume the use occurs in a region with an EU-average electricity mix.</w:t>
      </w:r>
    </w:p>
    <w:p>
      <w:pPr>
        <w:numPr>
          <w:ilvl w:val="0"/>
          <w:numId w:val="1008"/>
        </w:numPr>
        <w:pStyle w:val="Compact"/>
      </w:pPr>
      <w:r>
        <w:t xml:space="preserve">Product Lifespan: 3 years</w:t>
      </w:r>
    </w:p>
    <w:p>
      <w:pPr>
        <w:numPr>
          <w:ilvl w:val="0"/>
          <w:numId w:val="1008"/>
        </w:numPr>
        <w:pStyle w:val="Compact"/>
      </w:pPr>
      <w:r>
        <w:t xml:space="preserve">Energy Consumption in Use: 5 kWh/year</w:t>
      </w:r>
    </w:p>
    <w:p>
      <w:pPr>
        <w:numPr>
          <w:ilvl w:val="0"/>
          <w:numId w:val="1008"/>
        </w:numPr>
        <w:pStyle w:val="Compact"/>
      </w:pPr>
      <w:r>
        <w:t xml:space="preserve">Total Energy in Use: 5 kWh/year * 3 years = 15 kWh</w:t>
      </w:r>
    </w:p>
    <w:p>
      <w:pPr>
        <w:numPr>
          <w:ilvl w:val="0"/>
          <w:numId w:val="1008"/>
        </w:numPr>
        <w:pStyle w:val="Compact"/>
      </w:pPr>
      <w:r>
        <w:t xml:space="preserve">EU Average Grid Electricity EF: 0.25 kg CO2e/kWh</w:t>
      </w:r>
    </w:p>
    <w:p>
      <w:pPr>
        <w:numPr>
          <w:ilvl w:val="0"/>
          <w:numId w:val="1008"/>
        </w:numPr>
        <w:pStyle w:val="Compact"/>
      </w:pPr>
      <w:r>
        <w:t xml:space="preserve">Emissions: 15 kWh * 0.25 kg CO2e/kWh = 3.75 kg CO2e</w:t>
      </w:r>
    </w:p>
    <w:p>
      <w:pPr>
        <w:pStyle w:val="FirstParagraph"/>
      </w:pPr>
      <w:r>
        <w:rPr>
          <w:bCs/>
          <w:b/>
        </w:rPr>
        <w:t xml:space="preserve">Total Use Phase (Scope 3): 3.75 kg CO2e</w:t>
      </w:r>
    </w:p>
    <w:bookmarkEnd w:id="39"/>
    <w:bookmarkStart w:id="40" w:name="scope-3-end-of-life-eol-emissions"/>
    <w:p>
      <w:pPr>
        <w:pStyle w:val="Heading3"/>
      </w:pPr>
      <w:r>
        <w:t xml:space="preserve">4.5. Scope 3: End-of-Life (EoL) Emissions</w:t>
      </w:r>
    </w:p>
    <w:p>
      <w:pPr>
        <w:pStyle w:val="FirstParagraph"/>
      </w:pPr>
      <w:r>
        <w:t xml:space="preserve">Emissions associated with the disposal or recycling of the product and its packaging. Product weight for EoL is assumed 1.0 kg.</w:t>
      </w:r>
    </w:p>
    <w:p>
      <w:pPr>
        <w:numPr>
          <w:ilvl w:val="0"/>
          <w:numId w:val="1009"/>
        </w:numPr>
        <w:pStyle w:val="Compact"/>
      </w:pPr>
      <w:r>
        <w:t xml:space="preserve">Recyclability Percentage: 75%</w:t>
      </w:r>
    </w:p>
    <w:p>
      <w:pPr>
        <w:numPr>
          <w:ilvl w:val="0"/>
          <w:numId w:val="1009"/>
        </w:numPr>
        <w:pStyle w:val="Compact"/>
      </w:pPr>
      <w:r>
        <w:t xml:space="preserve">Circular Program Reduction: 10% (applied to non-recycled portion)</w:t>
      </w:r>
    </w:p>
    <w:p>
      <w:pPr>
        <w:numPr>
          <w:ilvl w:val="0"/>
          <w:numId w:val="1009"/>
        </w:numPr>
        <w:pStyle w:val="Compact"/>
      </w:pPr>
      <w:r>
        <w:t xml:space="preserve">Portion Recycled: 1.0 kg * 0.75 = 0.75 kg</w:t>
      </w:r>
    </w:p>
    <w:p>
      <w:pPr>
        <w:numPr>
          <w:ilvl w:val="0"/>
          <w:numId w:val="1009"/>
        </w:numPr>
        <w:pStyle w:val="Compact"/>
      </w:pPr>
      <w:r>
        <w:t xml:space="preserve">Portion Not Recycled: 1.0 kg * (1 - 0.75) = 0.25 kg</w:t>
      </w:r>
    </w:p>
    <w:p>
      <w:pPr>
        <w:numPr>
          <w:ilvl w:val="0"/>
          <w:numId w:val="1009"/>
        </w:numPr>
        <w:pStyle w:val="Compact"/>
      </w:pPr>
      <w:r>
        <w:t xml:space="preserve">EoL Emission Factor (Non-recycled): 1.0 kg CO2e/kg (illustrative)</w:t>
      </w:r>
    </w:p>
    <w:p>
      <w:pPr>
        <w:numPr>
          <w:ilvl w:val="0"/>
          <w:numId w:val="1009"/>
        </w:numPr>
        <w:pStyle w:val="Compact"/>
      </w:pPr>
      <w:r>
        <w:t xml:space="preserve">EoL Recycling Credit: -0.5 kg CO2e/kg (illustrative, for avoided virgin material)</w:t>
      </w:r>
    </w:p>
    <w:p>
      <w:pPr>
        <w:numPr>
          <w:ilvl w:val="0"/>
          <w:numId w:val="1009"/>
        </w:numPr>
        <w:pStyle w:val="Compact"/>
      </w:pPr>
      <w:r>
        <w:t xml:space="preserve">Emissions from Non-recycled Portion: 0.25 kg * 1.0 kg CO2e/kg = 0.25 kg CO2e</w:t>
      </w:r>
    </w:p>
    <w:p>
      <w:pPr>
        <w:numPr>
          <w:ilvl w:val="0"/>
          <w:numId w:val="1009"/>
        </w:numPr>
        <w:pStyle w:val="Compact"/>
      </w:pPr>
      <w:r>
        <w:t xml:space="preserve">Impact of Circular Programs: 0.25 kg CO2e * (1 - 0.10) = 0.225 kg CO2e</w:t>
      </w:r>
    </w:p>
    <w:p>
      <w:pPr>
        <w:numPr>
          <w:ilvl w:val="0"/>
          <w:numId w:val="1009"/>
        </w:numPr>
        <w:pStyle w:val="Compact"/>
      </w:pPr>
      <w:r>
        <w:t xml:space="preserve">Emissions/Credits from Recycled Portion: 0.75 kg * (-0.5 kg CO2e/kg) = -0.375 kg CO2e</w:t>
      </w:r>
    </w:p>
    <w:p>
      <w:pPr>
        <w:pStyle w:val="FirstParagraph"/>
      </w:pPr>
      <w:r>
        <w:rPr>
          <w:bCs/>
          <w:b/>
        </w:rPr>
        <w:t xml:space="preserve">Total EoL (Scope 3): 0.225 kg CO2e (non-recycled with program benefits) + (-0.375 kg CO2e) (recycled credit) = -0.15 kg CO2e</w:t>
      </w:r>
    </w:p>
    <w:p>
      <w:pPr>
        <w:pStyle w:val="BodyText"/>
      </w:pPr>
      <w:r>
        <w:rPr>
          <w:iCs/>
          <w:i/>
        </w:rPr>
        <w:t xml:space="preserve">Note: The negative value for EoL indicates a net carbon sequestration/avoidance due to high recyclability and circular economy initiatives, reflecting a significant positive impact at the end-of-life stage.</w:t>
      </w:r>
    </w:p>
    <w:p>
      <w:r>
        <w:pict>
          <v:rect style="width:0;height:1.5pt" o:hralign="center" o:hrstd="t" o:hr="t"/>
        </w:pict>
      </w:r>
    </w:p>
    <w:bookmarkEnd w:id="40"/>
    <w:bookmarkEnd w:id="41"/>
    <w:bookmarkStart w:id="42" w:name="X299a3717db401fbc63eac38de0814f3ad8939f4"/>
    <w:p>
      <w:pPr>
        <w:pStyle w:val="Heading2"/>
      </w:pPr>
      <w:r>
        <w:t xml:space="preserve">Total Product Carbon Footprint (PCF) Summary</w:t>
      </w:r>
    </w:p>
    <w:p>
      <w:pPr>
        <w:pStyle w:val="FirstParagraph"/>
      </w:pPr>
      <w:r>
        <w:t xml:space="preserve">The total Product Carbon Footprint for one unit of "eqjduoxwli" is summarized below, broken down by GHG Protocol scopes.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Scope</w:t>
            </w:r>
          </w:p>
        </w:tc>
        <w:tc>
          <w:tcPr/>
          <w:p>
            <w:pPr>
              <w:pStyle w:val="Compact"/>
              <w:jc w:val="left"/>
            </w:pPr>
            <w:r>
              <w:t xml:space="preserve">CO2e (kg per functional unit)</w:t>
            </w:r>
          </w:p>
        </w:tc>
      </w:tr>
      <w:tr>
        <w:tc>
          <w:tcPr/>
          <w:p>
            <w:pPr>
              <w:pStyle w:val="Compact"/>
              <w:jc w:val="left"/>
            </w:pPr>
            <w:r>
              <w:t xml:space="preserve">Scope 1: Direct Emissions (Production)</w:t>
            </w:r>
          </w:p>
        </w:tc>
        <w:tc>
          <w:tcPr/>
          <w:p>
            <w:pPr>
              <w:pStyle w:val="Compact"/>
              <w:jc w:val="left"/>
            </w:pPr>
            <w:r>
              <w:t xml:space="preserve">0.00</w:t>
            </w:r>
            <w:r>
              <w:t xml:space="preserve"> </w:t>
            </w:r>
            <w:r>
              <w:t xml:space="preserve">(Assumed negligible for process energy, included in Scope 2 for purchased electricity impact)</w:t>
            </w:r>
          </w:p>
        </w:tc>
      </w:tr>
      <w:tr>
        <w:tc>
          <w:tcPr/>
          <w:p>
            <w:pPr>
              <w:pStyle w:val="Compact"/>
              <w:jc w:val="left"/>
            </w:pPr>
            <w:r>
              <w:t xml:space="preserve">Scope 2: Purchased Electricity (Production)</w:t>
            </w:r>
          </w:p>
        </w:tc>
        <w:tc>
          <w:tcPr/>
          <w:p>
            <w:pPr>
              <w:pStyle w:val="Compact"/>
              <w:jc w:val="left"/>
            </w:pPr>
            <w:r>
              <w:t xml:space="preserve">3.60</w:t>
            </w:r>
          </w:p>
        </w:tc>
      </w:tr>
      <w:tr>
        <w:tc>
          <w:tcPr/>
          <w:p>
            <w:pPr>
              <w:pStyle w:val="Compact"/>
              <w:jc w:val="left"/>
            </w:pPr>
            <w:r>
              <w:t xml:space="preserve">Scope 3 (Upstream): Materials Acquisition &amp; Processing</w:t>
            </w:r>
          </w:p>
        </w:tc>
        <w:tc>
          <w:tcPr/>
          <w:p>
            <w:pPr>
              <w:pStyle w:val="Compact"/>
              <w:jc w:val="left"/>
            </w:pPr>
            <w:r>
              <w:t xml:space="preserve">5.23</w:t>
            </w:r>
          </w:p>
        </w:tc>
      </w:tr>
      <w:tr>
        <w:tc>
          <w:tcPr/>
          <w:p>
            <w:pPr>
              <w:pStyle w:val="Compact"/>
              <w:jc w:val="left"/>
            </w:pPr>
            <w:r>
              <w:t xml:space="preserve">Scope 3 (Upstream): Transport (Materials to Factory)</w:t>
            </w:r>
          </w:p>
        </w:tc>
        <w:tc>
          <w:tcPr/>
          <w:p>
            <w:pPr>
              <w:pStyle w:val="Compact"/>
              <w:jc w:val="left"/>
            </w:pPr>
            <w:r>
              <w:t xml:space="preserve">0.045</w:t>
            </w:r>
          </w:p>
        </w:tc>
      </w:tr>
      <w:tr>
        <w:tc>
          <w:tcPr/>
          <w:p>
            <w:pPr>
              <w:pStyle w:val="Compact"/>
              <w:jc w:val="left"/>
            </w:pPr>
            <w:r>
              <w:t xml:space="preserve">Scope 3 (Downstream): Transport (Factory to Customer)</w:t>
            </w:r>
          </w:p>
        </w:tc>
        <w:tc>
          <w:tcPr/>
          <w:p>
            <w:pPr>
              <w:pStyle w:val="Compact"/>
              <w:jc w:val="left"/>
            </w:pPr>
            <w:r>
              <w:t xml:space="preserve">0.80</w:t>
            </w:r>
          </w:p>
        </w:tc>
      </w:tr>
      <w:tr>
        <w:tc>
          <w:tcPr/>
          <w:p>
            <w:pPr>
              <w:pStyle w:val="Compact"/>
              <w:jc w:val="left"/>
            </w:pPr>
            <w:r>
              <w:t xml:space="preserve">Scope 3 (Downstream): Use Phase</w:t>
            </w:r>
          </w:p>
        </w:tc>
        <w:tc>
          <w:tcPr/>
          <w:p>
            <w:pPr>
              <w:pStyle w:val="Compact"/>
              <w:jc w:val="left"/>
            </w:pPr>
            <w:r>
              <w:t xml:space="preserve">3.75</w:t>
            </w:r>
          </w:p>
        </w:tc>
      </w:tr>
      <w:tr>
        <w:tc>
          <w:tcPr/>
          <w:p>
            <w:pPr>
              <w:pStyle w:val="Compact"/>
              <w:jc w:val="left"/>
            </w:pPr>
            <w:r>
              <w:t xml:space="preserve">Scope 3 (Downstream): End-of-Life Treatment</w:t>
            </w:r>
          </w:p>
        </w:tc>
        <w:tc>
          <w:tcPr/>
          <w:p>
            <w:pPr>
              <w:pStyle w:val="Compact"/>
              <w:jc w:val="left"/>
            </w:pPr>
            <w:r>
              <w:t xml:space="preserve">-0.15</w:t>
            </w:r>
          </w:p>
        </w:tc>
      </w:tr>
      <w:tr>
        <w:tc>
          <w:tcPr/>
          <w:p>
            <w:pPr>
              <w:pStyle w:val="Compact"/>
              <w:jc w:val="left"/>
            </w:pPr>
            <w:r>
              <w:t xml:space="preserve">Total Product Carbon Footprint (GHG Protocol)</w:t>
            </w:r>
          </w:p>
        </w:tc>
        <w:tc>
          <w:tcPr/>
          <w:p>
            <w:pPr>
              <w:pStyle w:val="Compact"/>
              <w:jc w:val="left"/>
            </w:pPr>
            <w:r>
              <w:t xml:space="preserve">13.275</w:t>
            </w:r>
          </w:p>
        </w:tc>
      </w:tr>
    </w:tbl>
    <w:p>
      <w:pPr>
        <w:pStyle w:val="BodyText"/>
      </w:pPr>
      <w:r>
        <w:rPr>
          <w:bCs/>
          <w:b/>
        </w:rPr>
        <w:t xml:space="preserve">The total Product Carbon Footprint for one unit of eqjduoxwli is approximately 13.28 kg CO2e.</w:t>
      </w:r>
    </w:p>
    <w:p>
      <w:r>
        <w:pict>
          <v:rect style="width:0;height:1.5pt" o:hralign="center" o:hrstd="t" o:hr="t"/>
        </w:pict>
      </w:r>
    </w:p>
    <w:bookmarkEnd w:id="42"/>
    <w:bookmarkStart w:id="45" w:name="review-report-hotspots-and-reliability"/>
    <w:p>
      <w:pPr>
        <w:pStyle w:val="Heading2"/>
      </w:pPr>
      <w:r>
        <w:t xml:space="preserve">5. Review &amp; Report: Hotspots and Reliability</w:t>
      </w:r>
    </w:p>
    <w:p>
      <w:pPr>
        <w:pStyle w:val="FirstParagraph"/>
      </w:pPr>
      <w:r>
        <w:t xml:space="preserve">The analysis indicates that the most significant emission hotspots for "eqjduoxwli" are:</w:t>
      </w:r>
    </w:p>
    <w:p>
      <w:pPr>
        <w:numPr>
          <w:ilvl w:val="0"/>
          <w:numId w:val="1010"/>
        </w:numPr>
        <w:pStyle w:val="Compact"/>
      </w:pPr>
      <w:r>
        <w:rPr>
          <w:bCs/>
          <w:b/>
        </w:rPr>
        <w:t xml:space="preserve">Materials Acquisition &amp; Processing (5.23 kg CO2e):</w:t>
      </w:r>
      <w:r>
        <w:t xml:space="preserve"> </w:t>
      </w:r>
      <w:r>
        <w:t xml:space="preserve">This is the largest contributor, highlighting the importance of sustainable sourcing and material efficiency. The Aluminum Casing (1.60 kg CO2e), Plastic Housing (1.75 kg CO2e), and Circuit Board (1.50 kg CO2e) are key material contributors based on the provided BOM.</w:t>
      </w:r>
    </w:p>
    <w:p>
      <w:pPr>
        <w:numPr>
          <w:ilvl w:val="0"/>
          <w:numId w:val="1010"/>
        </w:numPr>
        <w:pStyle w:val="Compact"/>
      </w:pPr>
      <w:r>
        <w:rPr>
          <w:bCs/>
          <w:b/>
        </w:rPr>
        <w:t xml:space="preserve">Production/Manufacturing (Scope 2: 3.60 kg CO2e):</w:t>
      </w:r>
      <w:r>
        <w:t xml:space="preserve"> </w:t>
      </w:r>
      <w:r>
        <w:t xml:space="preserve">Despite 60% renewable energy usage, the remaining grid electricity from China\'s mix still contributes significantly, emphasizing the need for further decarbonization of purchased energy.</w:t>
      </w:r>
    </w:p>
    <w:p>
      <w:pPr>
        <w:numPr>
          <w:ilvl w:val="0"/>
          <w:numId w:val="1010"/>
        </w:numPr>
        <w:pStyle w:val="Compact"/>
      </w:pPr>
      <w:r>
        <w:rPr>
          <w:bCs/>
          <w:b/>
        </w:rPr>
        <w:t xml:space="preserve">Use Phase (3.75 kg CO2e):</w:t>
      </w:r>
      <w:r>
        <w:t xml:space="preserve"> </w:t>
      </w:r>
      <w:r>
        <w:t xml:space="preserve">The energy consumption during the product\'s 3-year lifespan represents a substantial portion of the overall footprint, underscoring the importance of energy-efficient design.</w:t>
      </w:r>
    </w:p>
    <w:p>
      <w:pPr>
        <w:pStyle w:val="FirstParagraph"/>
      </w:pPr>
      <w:r>
        <w:t xml:space="preserve">The inclusion of robust recyclability (75%) and circular/take-back programs results in a net negative impact at the End-of-Life stage (-0.15 kg CO2e), demonstrating the positive effect of circular economy strategies on the product\'s overall footprint. This also helps in achieving the 95% Scope 3 coverage requirement.</w:t>
      </w:r>
    </w:p>
    <w:p>
      <w:pPr>
        <w:pStyle w:val="BodyText"/>
      </w:pPr>
      <w:r>
        <w:rPr>
          <w:bCs/>
          <w:b/>
        </w:rPr>
        <w:t xml:space="preserve">Reliability:</w:t>
      </w:r>
      <w:r>
        <w:t xml:space="preserve"> </w:t>
      </w:r>
      <w:r>
        <w:t xml:space="preserve">The reliability of this report is directly tied to the accuracy of the primary data provided (BOM structure) and the illustrative secondary emission factors used. While industry-standard factors (e.g., from Ecoinvent/DEFRA, IEA, EPA) are applied, specific product or supplier-specific primary data for all lifecycle stages would further enhance accuracy. All assumptions made due to generic string inputs have been explicitly stated.</w:t>
      </w:r>
    </w:p>
    <w:bookmarkStart w:id="44" w:name="recommendations"/>
    <w:p>
      <w:pPr>
        <w:pStyle w:val="Heading3"/>
      </w:pPr>
      <w:r>
        <w:t xml:space="preserve">Recommendations:</w:t>
      </w:r>
    </w:p>
    <w:p>
      <w:pPr>
        <w:numPr>
          <w:ilvl w:val="0"/>
          <w:numId w:val="1011"/>
        </w:numPr>
        <w:pStyle w:val="Compact"/>
      </w:pPr>
      <w:r>
        <w:rPr>
          <w:bCs/>
          <w:b/>
        </w:rPr>
        <w:t xml:space="preserve">Material Optimization:</w:t>
      </w:r>
      <w:r>
        <w:t xml:space="preserve"> </w:t>
      </w:r>
      <w:r>
        <w:t xml:space="preserve">Investigate opportunities to reduce material intensity, explore alternative lower-carbon materials, or increase the use of recycled content beyond current levels for components like aluminum and plastic.</w:t>
      </w:r>
    </w:p>
    <w:p>
      <w:pPr>
        <w:numPr>
          <w:ilvl w:val="0"/>
          <w:numId w:val="1011"/>
        </w:numPr>
        <w:pStyle w:val="Compact"/>
      </w:pPr>
      <w:r>
        <w:rPr>
          <w:bCs/>
          <w:b/>
        </w:rPr>
        <w:t xml:space="preserve">Renewable Energy Expansion:</w:t>
      </w:r>
      <w:r>
        <w:t xml:space="preserve"> </w:t>
      </w:r>
      <w:r>
        <w:t xml:space="preserve">Increase renewable energy procurement for manufacturing operations in China, potentially through on-site generation or power purchase agreements (PPAs), to further reduce Scope 2 emissions.</w:t>
      </w:r>
    </w:p>
    <w:p>
      <w:pPr>
        <w:numPr>
          <w:ilvl w:val="0"/>
          <w:numId w:val="1011"/>
        </w:numPr>
        <w:pStyle w:val="Compact"/>
      </w:pPr>
      <w:r>
        <w:rPr>
          <w:bCs/>
          <w:b/>
        </w:rPr>
        <w:t xml:space="preserve">Energy Efficiency in Use:</w:t>
      </w:r>
      <w:r>
        <w:t xml:space="preserve"> </w:t>
      </w:r>
      <w:r>
        <w:t xml:space="preserve">Focus on design improvements to minimize the energy consumption of "eqjduoxwli" during its use phase, as this is a significant long-term contributor.</w:t>
      </w:r>
    </w:p>
    <w:p>
      <w:pPr>
        <w:numPr>
          <w:ilvl w:val="0"/>
          <w:numId w:val="1011"/>
        </w:numPr>
        <w:pStyle w:val="Compact"/>
      </w:pPr>
      <w:r>
        <w:rPr>
          <w:bCs/>
          <w:b/>
        </w:rPr>
        <w:t xml:space="preserve">Supply Chain Engagement:</w:t>
      </w:r>
      <w:r>
        <w:t xml:space="preserve"> </w:t>
      </w:r>
      <w:r>
        <w:t xml:space="preserve">Collaborate with European supply chain partners to obtain more specific, primary data for upstream transport and material processing to improve the accuracy of Scope 3 calculations.</w:t>
      </w:r>
    </w:p>
    <w:p>
      <w:r>
        <w:pict>
          <v:rect style="width:0;height:1.5pt" o:hralign="center" o:hrstd="t" o:hr="t"/>
        </w:pict>
      </w:r>
    </w:p>
    <w:p>
      <w:pPr>
        <w:pStyle w:val="FirstParagraph"/>
      </w:pPr>
      <w:r>
        <w:t xml:space="preserve">Confidential - Internal Use Only | Page</w:t>
      </w:r>
      <w:r>
        <w:t xml:space="preserve"> </w:t>
      </w:r>
      <w:bookmarkStart w:id="43" w:name="page-num"/>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eqjduoxwli</dc:title>
  <dc:creator/>
  <dc:description>Detailed Product Carbon Footprint (PCF) analysis report for eqjduoxwli, performed by smfeqqdypl for wldwqrpgxd, adhering to GHG Protocol standards and 2026 LSR Update.</dc:description>
  <dc:language>en</dc:language>
  <cp:keywords/>
  <dcterms:created xsi:type="dcterms:W3CDTF">2026-07-15T20:11:42Z</dcterms:created>
  <dcterms:modified xsi:type="dcterms:W3CDTF">2026-07-15T20:11:42Z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