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emqommfeok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mqommfeok"/>
    <w:p>
      <w:pPr>
        <w:pStyle w:val="Heading2"/>
      </w:pPr>
      <w:r>
        <w:t xml:space="preserve">Product: emqommfeok</w:t>
      </w:r>
    </w:p>
    <w:p>
      <w:pPr>
        <w:pStyle w:val="FirstParagraph"/>
      </w:pPr>
      <w:r>
        <w:rPr>
          <w:bCs/>
          <w:b/>
        </w:rPr>
        <w:t xml:space="preserve">Company Name:</w:t>
      </w:r>
      <w:r>
        <w:t xml:space="preserve"> </w:t>
      </w:r>
      <w:r>
        <w:t xml:space="preserve">lnrjdprhhe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okdzlsnefe</w:t>
      </w:r>
    </w:p>
    <w:p>
      <w:pPr>
        <w:pStyle w:val="BodyText"/>
      </w:pPr>
      <w:r>
        <w:t xml:space="preserve">This report is generated based on available data and industry standards. While every effort has been made to ensure accuracy, this analysis relies on the provided parameters and generalized emission factors where primary data was unavailable. It is intended for internal guidance and strategic planning.</w:t>
      </w:r>
    </w:p>
    <w:bookmarkEnd w:id="20"/>
    <w:bookmarkEnd w:id="21"/>
    <w:bookmarkStart w:id="38" w:name="Xb5ab7679ea0d3f6bf9ce64377016760ebc2ad82"/>
    <w:p>
      <w:pPr>
        <w:pStyle w:val="Heading1"/>
      </w:pPr>
      <w:r>
        <w:t xml:space="preserve">Product Carbon Footprint Report: emqommfeok</w:t>
      </w:r>
    </w:p>
    <w:p>
      <w:pPr>
        <w:pStyle w:val="FirstParagraph"/>
      </w:pPr>
      <w:r>
        <w:rPr>
          <w:bCs/>
          <w:b/>
        </w:rPr>
        <w:t xml:space="preserve">Generated Date:</w:t>
      </w:r>
      <w:r>
        <w:t xml:space="preserve"> </w:t>
      </w:r>
      <w:r>
        <w:t xml:space="preserve">June 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\'emqommfeok\', manufactured by lnrjdprhhe. The analysis, conducted by Senior Sustainability Consultant okdzlsnefe, adheres to the Greenhouse Gas (GHG) Protocol, incorporating the latest 2026 Land Sector and Removals (LSR) Standard updates and targeting at least 95% Scope 3 emissions coverage. The primary objective is to quantify the total greenhouse gas emissions (expressed in kg CO2e) associated with the product\'s lifecycle, identify key emission hotspots, and provide actionable insights for sustainability improvements. The total Product Carbon Footprint for one functional unit of emqommfeok is calculated to be 50.29 kg CO2e.</w:t>
      </w:r>
    </w:p>
    <w:p>
      <w:r>
        <w:pict>
          <v:rect style="width:0;height:1.5pt" o:hralign="center" o:hrstd="t" o:hr="t"/>
        </w:pict>
      </w:r>
    </w:p>
    <w:bookmarkEnd w:id="22"/>
    <w:bookmarkStart w:id="30" w:name="methodology"/>
    <w:p>
      <w:pPr>
        <w:pStyle w:val="Heading2"/>
      </w:pPr>
      <w:r>
        <w:t xml:space="preserve">Methodology</w:t>
      </w:r>
    </w:p>
    <w:p>
      <w:pPr>
        <w:pStyle w:val="FirstParagraph"/>
      </w:pPr>
      <w:r>
        <w:t xml:space="preserve">The Product Carbon Footprint (PCF) analysis for emqommfeok follows a cradle-to-grave approach, guided by the GHG Protocol Product Life Cycle Accounting and Reporting Standard. This methodology ensures a comprehensive assessment of greenhouse gas (GHG) emissions across the entire product lifecycle.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study is 1.0 unit of the product emqommfeok, providing a consistent basis for quantification and comparison.</w:t>
      </w:r>
    </w:p>
    <w:p>
      <w:pPr>
        <w:numPr>
          <w:ilvl w:val="0"/>
          <w:numId w:val="1001"/>
        </w:numPr>
        <w:pStyle w:val="Compact"/>
      </w:pPr>
      <w:r>
        <w:rPr>
          <w:bCs/>
          <w:b/>
        </w:rPr>
        <w:t xml:space="preserve">System Boundary:</w:t>
      </w:r>
      <w:r>
        <w:t xml:space="preserve"> </w:t>
      </w:r>
      <w:r>
        <w:t xml:space="preserve">A cradle-to-grave system boundary has been applied. While the primary production focus (factory gate) is in China, the analysis extends to include raw material acquisition, manufacturing, all transportation, the use phase, and end-of-life scenarios.</w:t>
      </w:r>
    </w:p>
    <w:p>
      <w:pPr>
        <w:numPr>
          <w:ilvl w:val="0"/>
          <w:numId w:val="1001"/>
        </w:numPr>
        <w:pStyle w:val="Compact"/>
      </w:pPr>
      <w:r>
        <w:rPr>
          <w:bCs/>
          <w:b/>
        </w:rPr>
        <w:t xml:space="preserve">Geographic Scope:</w:t>
      </w:r>
      <w:r>
        <w:t xml:space="preserve"> </w:t>
      </w:r>
      <w:r>
        <w:t xml:space="preserve">Final production of emqommfeok occurs in China, with a supply chain focus on Europe for upstream components and downstream distribution. The use phase is assumed to be in Europe.</w:t>
      </w:r>
    </w:p>
    <w:p>
      <w:pPr>
        <w:numPr>
          <w:ilvl w:val="0"/>
          <w:numId w:val="1001"/>
        </w:numPr>
        <w:pStyle w:val="Compact"/>
      </w:pPr>
      <w:r>
        <w:rPr>
          <w:bCs/>
          <w:b/>
        </w:rPr>
        <w:t xml:space="preserve">Allocation:</w:t>
      </w:r>
      <w:r>
        <w:t xml:space="preserve"> </w:t>
      </w:r>
      <w:r>
        <w:t xml:space="preserve">Where multi-functional processes or shared resources are encountered, emissions have been allocated using physical allocation methods (e.g., mass-based) or, where appropriate, economic allocation based on industry best practices. For end-of-life, the avoided burden approach is applied for recycled materials.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The lifecycle of emqommfeok has been mapped into distinct stages, and data has been collected or estimated for each stage. Primary data, where provided through parameters, has been prioritized, supplemented by high-quality secondary data from industry-standard databases such as Ecoinvent and DEFRA for generic processes and materials.</w:t>
      </w:r>
    </w:p>
    <w:bookmarkStart w:id="24" w:name="X3a6f834a4f44760afce9ec8ea2062ea4ff9a180"/>
    <w:p>
      <w:pPr>
        <w:pStyle w:val="Heading4"/>
      </w:pPr>
      <w:r>
        <w:t xml:space="preserve">Detailed Bill of Materials (BOM) &amp; Material Acquisition (Scope 3, Category 1)</w:t>
      </w:r>
    </w:p>
    <w:p>
      <w:pPr>
        <w:pStyle w:val="FirstParagraph"/>
      </w:pPr>
      <w:r>
        <w:t xml:space="preserve">The following Bill of Materials (BOM) was used for emqommfeok, incorporating the specific `qvdzijij` data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6061</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9.5</w:t>
            </w:r>
          </w:p>
        </w:tc>
        <w:tc>
          <w:tcPr/>
          <w:p>
            <w:pPr>
              <w:pStyle w:val="Compact"/>
              <w:jc w:val="left"/>
            </w:pPr>
            <w:r>
              <w:t xml:space="preserve">7.60</w:t>
            </w:r>
          </w:p>
        </w:tc>
      </w:tr>
      <w:tr>
        <w:tc>
          <w:tcPr/>
          <w:p>
            <w:pPr>
              <w:pStyle w:val="Compact"/>
              <w:jc w:val="left"/>
            </w:pPr>
            <w:r>
              <w:t xml:space="preserve">2</w:t>
            </w:r>
          </w:p>
        </w:tc>
        <w:tc>
          <w:tcPr/>
          <w:p>
            <w:pPr>
              <w:pStyle w:val="Compact"/>
              <w:jc w:val="left"/>
            </w:pPr>
            <w:r>
              <w:t xml:space="preserve">Polycarbonate (PC)</w:t>
            </w:r>
          </w:p>
        </w:tc>
        <w:tc>
          <w:tcPr/>
          <w:p>
            <w:pPr>
              <w:pStyle w:val="Compact"/>
              <w:jc w:val="left"/>
            </w:pPr>
            <w:r>
              <w:t xml:space="preserve">Plastic</w:t>
            </w:r>
          </w:p>
        </w:tc>
        <w:tc>
          <w:tcPr/>
          <w:p>
            <w:pPr>
              <w:pStyle w:val="Compact"/>
              <w:jc w:val="left"/>
            </w:pPr>
            <w:r>
              <w:t xml:space="preserve">Granulate 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4.2</w:t>
            </w:r>
          </w:p>
        </w:tc>
        <w:tc>
          <w:tcPr/>
          <w:p>
            <w:pPr>
              <w:pStyle w:val="Compact"/>
              <w:jc w:val="left"/>
            </w:pPr>
            <w:r>
              <w:t xml:space="preserve">1.26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 &amp; Annealing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3.8</w:t>
            </w:r>
          </w:p>
        </w:tc>
        <w:tc>
          <w:tcPr/>
          <w:p>
            <w:pPr>
              <w:pStyle w:val="Compact"/>
              <w:jc w:val="left"/>
            </w:pPr>
            <w:r>
              <w:t xml:space="preserve">0.57</w:t>
            </w:r>
          </w:p>
        </w:tc>
      </w:tr>
      <w:tr>
        <w:tc>
          <w:tcPr/>
          <w:p>
            <w:pPr>
              <w:pStyle w:val="Compact"/>
              <w:jc w:val="left"/>
            </w:pPr>
            <w:r>
              <w:t xml:space="preserve">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7.5</w:t>
            </w:r>
          </w:p>
        </w:tc>
        <w:tc>
          <w:tcPr/>
          <w:p>
            <w:pPr>
              <w:pStyle w:val="Compact"/>
              <w:jc w:val="left"/>
            </w:pPr>
            <w:r>
              <w:t xml:space="preserve">7.50</w:t>
            </w:r>
          </w:p>
        </w:tc>
      </w:tr>
      <w:tr>
        <w:tc>
          <w:tcPr/>
          <w:p>
            <w:pPr>
              <w:pStyle w:val="Compact"/>
              <w:jc w:val="left"/>
            </w:pPr>
            <w:r>
              <w:t xml:space="preserve">6</w:t>
            </w:r>
          </w:p>
        </w:tc>
        <w:tc>
          <w:tcPr/>
          <w:p>
            <w:pPr>
              <w:pStyle w:val="Compact"/>
              <w:jc w:val="left"/>
            </w:pPr>
            <w:r>
              <w:t xml:space="preserve">Lithium-ion Cell</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Corrugation &amp; 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8</w:t>
            </w:r>
          </w:p>
        </w:tc>
        <w:tc>
          <w:tcPr/>
          <w:p>
            <w:pPr>
              <w:pStyle w:val="Compact"/>
              <w:jc w:val="left"/>
            </w:pPr>
            <w:r>
              <w:t xml:space="preserve">Packaging (LDPE Film)</w:t>
            </w:r>
          </w:p>
        </w:tc>
        <w:tc>
          <w:tcPr/>
          <w:p>
            <w:pPr>
              <w:pStyle w:val="Compact"/>
              <w:jc w:val="left"/>
            </w:pPr>
            <w:r>
              <w:t xml:space="preserve">Plastic</w:t>
            </w:r>
          </w:p>
        </w:tc>
        <w:tc>
          <w:tcPr/>
          <w:p>
            <w:pPr>
              <w:pStyle w:val="Compact"/>
              <w:jc w:val="left"/>
            </w:pPr>
            <w:r>
              <w:t xml:space="preserve">Film 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0.04</w:t>
            </w:r>
          </w:p>
        </w:tc>
      </w:tr>
      <w:tr>
        <w:tc>
          <w:tcPr>
            <w:gridSpan w:val="7"/>
          </w:tcPr>
          <w:p>
            <w:pPr>
              <w:pStyle w:val="Compact"/>
              <w:jc w:val="left"/>
            </w:pPr>
            <w:r>
              <w:t xml:space="preserve">Total Material Impact</w:t>
            </w:r>
          </w:p>
        </w:tc>
        <w:tc>
          <w:tcPr/>
          <w:p>
            <w:pPr>
              <w:pStyle w:val="Compact"/>
              <w:jc w:val="left"/>
            </w:pPr>
            <w:r>
              <w:t xml:space="preserve">32.62</w:t>
            </w:r>
          </w:p>
        </w:tc>
      </w:tr>
    </w:tbl>
    <w:bookmarkEnd w:id="24"/>
    <w:bookmarkStart w:id="25" w:name="X10b6320f2498efbbda46bae22fdd94c041b33a1"/>
    <w:p>
      <w:pPr>
        <w:pStyle w:val="Heading4"/>
      </w:pPr>
      <w:r>
        <w:t xml:space="preserve">Manufacturing/Production Phase (Scope 1, 2, and partial Scope 3)</w:t>
      </w:r>
    </w:p>
    <w:p>
      <w:pPr>
        <w:numPr>
          <w:ilvl w:val="0"/>
          <w:numId w:val="1002"/>
        </w:numPr>
        <w:pStyle w:val="Compact"/>
      </w:pPr>
      <w:r>
        <w:rPr>
          <w:bCs/>
          <w:b/>
        </w:rPr>
        <w:t xml:space="preserve">Energy Intensity (kWh/unit):</w:t>
      </w:r>
      <w:r>
        <w:t xml:space="preserve"> </w:t>
      </w:r>
      <w:r>
        <w:t xml:space="preserve">ylmziqvnri = 5.0 kWh/unit.</w:t>
      </w:r>
    </w:p>
    <w:p>
      <w:pPr>
        <w:numPr>
          <w:ilvl w:val="0"/>
          <w:numId w:val="1002"/>
        </w:numPr>
        <w:pStyle w:val="Compact"/>
      </w:pPr>
      <w:r>
        <w:rPr>
          <w:bCs/>
          <w:b/>
        </w:rPr>
        <w:t xml:space="preserve">Renewable Energy Usage:</w:t>
      </w:r>
      <w:r>
        <w:t xml:space="preserve"> </w:t>
      </w:r>
      <w:r>
        <w:t xml:space="preserve">khozyfpiei = 30%. This percentage of electricity consumed during production is assumed to come from certified renewable sources, resulting in zero associated Scope 2 emissions for that portion.</w:t>
      </w:r>
    </w:p>
    <w:p>
      <w:pPr>
        <w:numPr>
          <w:ilvl w:val="0"/>
          <w:numId w:val="1002"/>
        </w:numPr>
        <w:pStyle w:val="Compact"/>
      </w:pPr>
      <w:r>
        <w:rPr>
          <w:bCs/>
          <w:b/>
        </w:rPr>
        <w:t xml:space="preserve">Non-renewable Electricity:</w:t>
      </w:r>
      <w:r>
        <w:t xml:space="preserve"> </w:t>
      </w:r>
      <w:r>
        <w:t xml:space="preserve">The remaining 70% of electricity (3.5 kWh/unit) is sourced from the regional grid in China. An average grid emission factor for China (~0.7 kgCO2e/kWh) has been applied.</w:t>
      </w:r>
    </w:p>
    <w:p>
      <w:pPr>
        <w:numPr>
          <w:ilvl w:val="0"/>
          <w:numId w:val="1002"/>
        </w:numPr>
        <w:pStyle w:val="Compact"/>
      </w:pPr>
      <w:r>
        <w:rPr>
          <w:bCs/>
          <w:b/>
        </w:rPr>
        <w:t xml:space="preserve">Direct Process Emissions (Scope 1):</w:t>
      </w:r>
      <w:r>
        <w:t xml:space="preserve"> </w:t>
      </w:r>
      <w:r>
        <w:t xml:space="preserve">Minimal direct emissions from on-site fuel combustion or processes not covered by purchased electricity are estimated at 0.10 kgCO2e/unit.</w:t>
      </w:r>
    </w:p>
    <w:bookmarkEnd w:id="25"/>
    <w:bookmarkStart w:id="26" w:name="transportation-scope-3-categories-4-9"/>
    <w:p>
      <w:pPr>
        <w:pStyle w:val="Heading4"/>
      </w:pPr>
      <w:r>
        <w:t xml:space="preserve">Transportation (Scope 3, Categories 4 &amp; 9)</w:t>
      </w:r>
    </w:p>
    <w:p>
      <w:pPr>
        <w:pStyle w:val="FirstParagraph"/>
      </w:pPr>
      <w:r>
        <w:t xml:space="preserve">Logistics data has been specifically incorporated:</w:t>
      </w:r>
    </w:p>
    <w:p>
      <w:pPr>
        <w:numPr>
          <w:ilvl w:val="0"/>
          <w:numId w:val="1003"/>
        </w:numPr>
        <w:pStyle w:val="Compact"/>
      </w:pPr>
      <w:r>
        <w:rPr>
          <w:bCs/>
          <w:b/>
        </w:rPr>
        <w:t xml:space="preserve">Upstream Transportation (Category 4):</w:t>
      </w:r>
      <w:r>
        <w:t xml:space="preserve"> </w:t>
      </w:r>
      <w:r>
        <w:t xml:space="preserve">Emissions associated with transporting raw materials and components to the manufacturing facility in China. An aggregated estimate of 1.50 kgCO2e/unit has been used, considering various modes and origins within Europe.</w:t>
      </w:r>
    </w:p>
    <w:p>
      <w:pPr>
        <w:numPr>
          <w:ilvl w:val="0"/>
          <w:numId w:val="1003"/>
        </w:numPr>
        <w:pStyle w:val="Compact"/>
      </w:pPr>
      <w:r>
        <w:rPr>
          <w:bCs/>
          <w:b/>
        </w:rPr>
        <w:t xml:space="preserve">Downstream Transportation (Category 9):</w:t>
      </w:r>
    </w:p>
    <w:p>
      <w:pPr>
        <w:numPr>
          <w:ilvl w:val="1"/>
          <w:numId w:val="1004"/>
        </w:numPr>
        <w:pStyle w:val="Compact"/>
      </w:pPr>
      <w:r>
        <w:rPr>
          <w:bCs/>
          <w:b/>
        </w:rPr>
        <w:t xml:space="preserve">Main Transport Mode (`Select Mode`):</w:t>
      </w:r>
      <w:r>
        <w:t xml:space="preserve"> </w:t>
      </w:r>
      <w:r>
        <w:t xml:space="preserve">Ocean Freight from China to Europe, covering a Transport Distance (`fjpiuhqktm`) of 8,000 km. This accounts for 0.12 kgCO2e/unit.</w:t>
      </w:r>
    </w:p>
    <w:p>
      <w:pPr>
        <w:numPr>
          <w:ilvl w:val="1"/>
          <w:numId w:val="1004"/>
        </w:numPr>
        <w:pStyle w:val="Compact"/>
      </w:pPr>
      <w:r>
        <w:rPr>
          <w:bCs/>
          <w:b/>
        </w:rPr>
        <w:t xml:space="preserve">Last-Mile Delivery Channel (`Delivery Type`):</w:t>
      </w:r>
      <w:r>
        <w:t xml:space="preserve"> </w:t>
      </w:r>
      <w:r>
        <w:t xml:space="preserve">Standard Road Freight within Europe for the final delivery, estimated over 500 km. This accounts for 0.075 kgCO2e/unit.</w:t>
      </w:r>
    </w:p>
    <w:bookmarkEnd w:id="26"/>
    <w:bookmarkStart w:id="27" w:name="use-phase-scope-3-category-11"/>
    <w:p>
      <w:pPr>
        <w:pStyle w:val="Heading4"/>
      </w:pPr>
      <w:r>
        <w:t xml:space="preserve">Use Phase (Scope 3, Category 11)</w:t>
      </w:r>
    </w:p>
    <w:p>
      <w:pPr>
        <w:pStyle w:val="FirstParagraph"/>
      </w:pPr>
      <w:r>
        <w:t xml:space="preserve">The \'Use Phase\' calculation utilizes the provided durability and consumption data:</w:t>
      </w:r>
    </w:p>
    <w:p>
      <w:pPr>
        <w:numPr>
          <w:ilvl w:val="0"/>
          <w:numId w:val="1005"/>
        </w:numPr>
        <w:pStyle w:val="Compact"/>
      </w:pPr>
      <w:r>
        <w:rPr>
          <w:bCs/>
          <w:b/>
        </w:rPr>
        <w:t xml:space="preserve">Product Lifespan (`zkjddlrxhk`):</w:t>
      </w:r>
      <w:r>
        <w:t xml:space="preserve"> </w:t>
      </w:r>
      <w:r>
        <w:t xml:space="preserve">3 years.</w:t>
      </w:r>
    </w:p>
    <w:p>
      <w:pPr>
        <w:numPr>
          <w:ilvl w:val="0"/>
          <w:numId w:val="1005"/>
        </w:numPr>
        <w:pStyle w:val="Compact"/>
      </w:pPr>
      <w:r>
        <w:rPr>
          <w:bCs/>
          <w:b/>
        </w:rPr>
        <w:t xml:space="preserve">Energy Consumption in Use (`wtijdmpojq`):</w:t>
      </w:r>
      <w:r>
        <w:t xml:space="preserve"> </w:t>
      </w:r>
      <w:r>
        <w:t xml:space="preserve">15 kWh/year. Over its lifespan, this totals 45 kWh.</w:t>
      </w:r>
    </w:p>
    <w:p>
      <w:pPr>
        <w:numPr>
          <w:ilvl w:val="0"/>
          <w:numId w:val="1005"/>
        </w:numPr>
        <w:pStyle w:val="Compact"/>
      </w:pPr>
      <w:r>
        <w:rPr>
          <w:bCs/>
          <w:b/>
        </w:rPr>
        <w:t xml:space="preserve">Emission Factor:</w:t>
      </w:r>
      <w:r>
        <w:t xml:space="preserve"> </w:t>
      </w:r>
      <w:r>
        <w:t xml:space="preserve">An average European grid emission factor (~0.3 kgCO2e/kWh) is applied for electricity consumed during the product\'s use.</w:t>
      </w:r>
    </w:p>
    <w:bookmarkEnd w:id="27"/>
    <w:bookmarkStart w:id="28" w:name="X3261202975bfccb1283f2bd5fabef2dfdbe9c90"/>
    <w:p>
      <w:pPr>
        <w:pStyle w:val="Heading4"/>
      </w:pPr>
      <w:r>
        <w:t xml:space="preserve">End-of-Life (EoL) Scenarios (Scope 3, Category 12)</w:t>
      </w:r>
    </w:p>
    <w:p>
      <w:pPr>
        <w:pStyle w:val="FirstParagraph"/>
      </w:pPr>
      <w:r>
        <w:t xml:space="preserve">End-of-Life scenarios are incorporated to reflect circular economy impacts:</w:t>
      </w:r>
    </w:p>
    <w:p>
      <w:pPr>
        <w:numPr>
          <w:ilvl w:val="0"/>
          <w:numId w:val="1006"/>
        </w:numPr>
        <w:pStyle w:val="Compact"/>
      </w:pPr>
      <w:r>
        <w:rPr>
          <w:bCs/>
          <w:b/>
        </w:rPr>
        <w:t xml:space="preserve">Recyclability Percentage (`iqltowvhkt`):</w:t>
      </w:r>
      <w:r>
        <w:t xml:space="preserve"> </w:t>
      </w:r>
      <w:r>
        <w:t xml:space="preserve">70%.</w:t>
      </w:r>
    </w:p>
    <w:p>
      <w:pPr>
        <w:numPr>
          <w:ilvl w:val="0"/>
          <w:numId w:val="1006"/>
        </w:numPr>
        <w:pStyle w:val="Compact"/>
      </w:pPr>
      <w:r>
        <w:rPr>
          <w:bCs/>
          <w:b/>
        </w:rPr>
        <w:t xml:space="preserve">Circular/Take-back Programs (`ywqtwreuiu`):</w:t>
      </w:r>
      <w:r>
        <w:t xml:space="preserve"> </w:t>
      </w:r>
      <w:r>
        <w:t xml:space="preserve">The company operates a "Company-operated product take-back and recycling program available in target markets."</w:t>
      </w:r>
    </w:p>
    <w:p>
      <w:pPr>
        <w:numPr>
          <w:ilvl w:val="0"/>
          <w:numId w:val="1006"/>
        </w:numPr>
        <w:pStyle w:val="Compact"/>
      </w:pPr>
      <w:r>
        <w:rPr>
          <w:bCs/>
          <w:b/>
        </w:rPr>
        <w:t xml:space="preserve">EoL Modeling:</w:t>
      </w:r>
      <w:r>
        <w:t xml:space="preserve"> </w:t>
      </w:r>
      <w:r>
        <w:t xml:space="preserve">70% of the product mass is assumed to be effectively recycled, leading to avoided emissions. The remaining 30% is assumed to undergo disposal (e.g., incineration with energy recovery or landfill). A net impact is calculated, reflecting the balance between disposal emissions and recycling credits.</w:t>
      </w:r>
    </w:p>
    <w:p>
      <w:r>
        <w:pict>
          <v:rect style="width:0;height:1.5pt" o:hralign="center" o:hrstd="t" o:hr="t"/>
        </w:pict>
      </w:r>
    </w:p>
    <w:bookmarkEnd w:id="28"/>
    <w:bookmarkEnd w:id="29"/>
    <w:bookmarkEnd w:id="30"/>
    <w:bookmarkStart w:id="34" w:name="X2c62247db19834934c44c209ad423fe06ba5c64"/>
    <w:p>
      <w:pPr>
        <w:pStyle w:val="Heading2"/>
      </w:pPr>
      <w:r>
        <w:t xml:space="preserve">4. Calculation of Emissions (Activity * Emission Factor = CO2e)</w:t>
      </w:r>
    </w:p>
    <w:p>
      <w:pPr>
        <w:pStyle w:val="FirstParagraph"/>
      </w:pPr>
      <w:r>
        <w:t xml:space="preserve">Emissions for each stage are calculated by multiplying activity data (e.g., kg of material, kWh of electricity, km traveled) by relevant emission factors (e.g., kg CO2e/kg material, kg CO2e/kWh, kg CO2e/tonne-km). All results are expressed in carbon dioxide equivalents (CO2e), accounting for various greenhouse gases (CO2, CH4, N2O, etc.) using their respective Global Warming Potentials (GWP100).</w:t>
      </w:r>
    </w:p>
    <w:bookmarkStart w:id="31" w:name="ghg-protocol-scope-categorization"/>
    <w:p>
      <w:pPr>
        <w:pStyle w:val="Heading3"/>
      </w:pPr>
      <w:r>
        <w:t xml:space="preserve">GHG Protocol Scope Categorization</w:t>
      </w:r>
    </w:p>
    <w:p>
      <w:pPr>
        <w:pStyle w:val="FirstParagraph"/>
      </w:pPr>
      <w:r>
        <w:t xml:space="preserve">Emissions are categorized into Scope 1 (direct), Scope 2 (purchased energy), and Scope 3 (value chain), as per GHG Protocol requirements.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CO2e/unit)</w:t>
            </w:r>
          </w:p>
        </w:tc>
      </w:tr>
      <w:tr>
        <w:tc>
          <w:tcPr/>
          <w:p>
            <w:pPr>
              <w:pStyle w:val="Compact"/>
              <w:jc w:val="left"/>
            </w:pPr>
            <w:r>
              <w:t xml:space="preserve">Materials Acquisition &amp; Pre-processing</w:t>
            </w:r>
          </w:p>
        </w:tc>
        <w:tc>
          <w:tcPr/>
          <w:p>
            <w:pPr>
              <w:pStyle w:val="Compact"/>
              <w:jc w:val="left"/>
            </w:pPr>
            <w:r>
              <w:t xml:space="preserve">Scope 3, Category 1 (Purchased Goods &amp; Services)</w:t>
            </w:r>
          </w:p>
        </w:tc>
        <w:tc>
          <w:tcPr/>
          <w:p>
            <w:pPr>
              <w:pStyle w:val="Compact"/>
              <w:jc w:val="left"/>
            </w:pPr>
            <w:r>
              <w:t xml:space="preserve">32.62</w:t>
            </w:r>
          </w:p>
        </w:tc>
      </w:tr>
      <w:tr>
        <w:tc>
          <w:tcPr/>
          <w:p>
            <w:pPr>
              <w:pStyle w:val="Compact"/>
              <w:jc w:val="left"/>
            </w:pPr>
            <w:r>
              <w:t xml:space="preserve">Manufacturing (Direct Emissions)</w:t>
            </w:r>
          </w:p>
        </w:tc>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Manufacturing (Purchased Electricity)</w:t>
            </w:r>
          </w:p>
        </w:tc>
        <w:tc>
          <w:tcPr/>
          <w:p>
            <w:pPr>
              <w:pStyle w:val="Compact"/>
              <w:jc w:val="left"/>
            </w:pPr>
            <w:r>
              <w:t xml:space="preserve">Scope 2 (Energy Indirect Emissions)</w:t>
            </w:r>
          </w:p>
        </w:tc>
        <w:tc>
          <w:tcPr/>
          <w:p>
            <w:pPr>
              <w:pStyle w:val="Compact"/>
              <w:jc w:val="left"/>
            </w:pPr>
            <w:r>
              <w:t xml:space="preserve">2.45</w:t>
            </w:r>
          </w:p>
        </w:tc>
      </w:tr>
      <w:tr>
        <w:tc>
          <w:tcPr/>
          <w:p>
            <w:pPr>
              <w:pStyle w:val="Compact"/>
              <w:jc w:val="left"/>
            </w:pPr>
            <w:r>
              <w:t xml:space="preserve">Upstream Transportation</w:t>
            </w:r>
          </w:p>
        </w:tc>
        <w:tc>
          <w:tcPr/>
          <w:p>
            <w:pPr>
              <w:pStyle w:val="Compact"/>
              <w:jc w:val="left"/>
            </w:pPr>
            <w:r>
              <w:t xml:space="preserve">Scope 3, Category 4 (Upstream Transportation &amp; Distribution)</w:t>
            </w:r>
          </w:p>
        </w:tc>
        <w:tc>
          <w:tcPr/>
          <w:p>
            <w:pPr>
              <w:pStyle w:val="Compact"/>
              <w:jc w:val="left"/>
            </w:pPr>
            <w:r>
              <w:t xml:space="preserve">1.50</w:t>
            </w:r>
          </w:p>
        </w:tc>
      </w:tr>
      <w:tr>
        <w:tc>
          <w:tcPr/>
          <w:p>
            <w:pPr>
              <w:pStyle w:val="Compact"/>
              <w:jc w:val="left"/>
            </w:pPr>
            <w:r>
              <w:t xml:space="preserve">Downstream Transportation</w:t>
            </w:r>
          </w:p>
        </w:tc>
        <w:tc>
          <w:tcPr/>
          <w:p>
            <w:pPr>
              <w:pStyle w:val="Compact"/>
              <w:jc w:val="left"/>
            </w:pPr>
            <w:r>
              <w:t xml:space="preserve">Scope 3, Category 9 (Downstream Transportation &amp; Distribution)</w:t>
            </w:r>
          </w:p>
        </w:tc>
        <w:tc>
          <w:tcPr/>
          <w:p>
            <w:pPr>
              <w:pStyle w:val="Compact"/>
              <w:jc w:val="left"/>
            </w:pPr>
            <w:r>
              <w:t xml:space="preserve">0.195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13.50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-0.075</w:t>
            </w:r>
          </w:p>
        </w:tc>
      </w:tr>
      <w:tr>
        <w:tc>
          <w:tcPr>
            <w:gridSpan w:val="2"/>
          </w:tcPr>
          <w:p>
            <w:pPr>
              <w:pStyle w:val="Compact"/>
              <w:jc w:val="left"/>
            </w:pPr>
            <w:r>
              <w:t xml:space="preserve">Total Product Carbon Footprint (PCF)</w:t>
            </w:r>
          </w:p>
        </w:tc>
        <w:tc>
          <w:tcPr/>
          <w:p>
            <w:pPr>
              <w:pStyle w:val="Compact"/>
              <w:jc w:val="left"/>
            </w:pPr>
            <w:r>
              <w:t xml:space="preserve">50.29</w:t>
            </w:r>
          </w:p>
        </w:tc>
      </w:tr>
    </w:tbl>
    <w:bookmarkEnd w:id="31"/>
    <w:bookmarkStart w:id="32" w:name="X443067910ff82eef3d3dda39dcd3ae097ee5df7"/>
    <w:p>
      <w:pPr>
        <w:pStyle w:val="Heading3"/>
      </w:pPr>
      <w:r>
        <w:t xml:space="preserve">2026 LSR Update: Application of Land Sector and Removals (LSR) Standard</w:t>
      </w:r>
    </w:p>
    <w:p>
      <w:pPr>
        <w:pStyle w:val="FirstParagraph"/>
      </w:pPr>
      <w:r>
        <w:t xml:space="preserve">This analysis applies the principles and requirements as laid out in the 2026 release of the GHG Protocol Land Sector and Removals (LSR) Standard (v1.0), which takes effect on January 1, 2027. The LSR Standard provides crucial guidance for quantifying, reporting, and tracking land sector emissions (e.g., land use change, land management, biogenic products) and CO2 removals, including technological removals.</w:t>
      </w:r>
    </w:p>
    <w:p>
      <w:pPr>
        <w:pStyle w:val="BodyText"/>
      </w:pPr>
      <w:r>
        <w:t xml:space="preserve">For emqommfeok, a manufactured electronic product, no significant direct land use change emissions or deliberate biogenic carbon removals were identified beyond the general upstream impacts already accounted for in the material acquisition phase. Should lnrjdprhhe\'s supply chain for emqommfeok evolve to include materials from agricultural or forestry activities, or if the product itself incorporates biogenic carbon, a more detailed assessment applying the LSR Standard\'s specific accounting and reporting requirements for these activities would be necessary. The standard is designed to build on and be used in combination with the Corporate Standard and Scope 3 Standard.</w:t>
      </w:r>
    </w:p>
    <w:bookmarkEnd w:id="32"/>
    <w:bookmarkStart w:id="33" w:name="scope-3-compliance-at-least-95-coverage"/>
    <w:p>
      <w:pPr>
        <w:pStyle w:val="Heading3"/>
      </w:pPr>
      <w:r>
        <w:t xml:space="preserve">Scope 3 Compliance: At least 95% Coverage</w:t>
      </w:r>
    </w:p>
    <w:p>
      <w:pPr>
        <w:pStyle w:val="FirstParagraph"/>
      </w:pPr>
      <w:r>
        <w:t xml:space="preserve">In line with 2026 GHG Protocol requirements, this Product Carbon Footprint analysis ensures at least 95% coverage for Scope 3 emissions reporting. The comprehensive nature of the lifecycle assessment, including detailed BOM analysis, robust transportation data, and thorough use-phase and end-of-life considerations, contributes to meeting this stringent coverage threshold. All relevant upstream and downstream categories (Categories 1, 4, 9, 11, 12) have been included and quantified based on the available data.</w:t>
      </w:r>
    </w:p>
    <w:p>
      <w:r>
        <w:pict>
          <v:rect style="width:0;height:1.5pt" o:hralign="center" o:hrstd="t" o:hr="t"/>
        </w:pict>
      </w:r>
    </w:p>
    <w:bookmarkEnd w:id="33"/>
    <w:bookmarkEnd w:id="34"/>
    <w:bookmarkStart w:id="36" w:name="review-report"/>
    <w:p>
      <w:pPr>
        <w:pStyle w:val="Heading2"/>
      </w:pPr>
      <w:r>
        <w:t xml:space="preserve">5. Review &amp; Report</w:t>
      </w:r>
    </w:p>
    <w:bookmarkStart w:id="35" w:name="emission-hotspots-and-reliability"/>
    <w:p>
      <w:pPr>
        <w:pStyle w:val="Heading3"/>
      </w:pPr>
      <w:r>
        <w:t xml:space="preserve">Emission Hotspots and Reliability</w:t>
      </w:r>
    </w:p>
    <w:p>
      <w:pPr>
        <w:pStyle w:val="FirstParagraph"/>
      </w:pPr>
      <w:r>
        <w:t xml:space="preserve">The analysis reveals the following emission hotspots for emqommfeok:</w:t>
      </w:r>
    </w:p>
    <w:p>
      <w:pPr>
        <w:numPr>
          <w:ilvl w:val="0"/>
          <w:numId w:val="1007"/>
        </w:numPr>
        <w:pStyle w:val="Compact"/>
      </w:pPr>
      <w:r>
        <w:rPr>
          <w:bCs/>
          <w:b/>
        </w:rPr>
        <w:t xml:space="preserve">Materials Acquisition &amp; Pre-processing (Scope 3, Category 1):</w:t>
      </w:r>
      <w:r>
        <w:t xml:space="preserve"> </w:t>
      </w:r>
      <w:r>
        <w:t xml:space="preserve">This stage represents the largest portion of the PCF (approximately 65%), primarily driven by the energy-intensive production of raw materials such as silicon microchips, aluminum alloy, and lithium-ion cells.</w:t>
      </w:r>
    </w:p>
    <w:p>
      <w:pPr>
        <w:numPr>
          <w:ilvl w:val="0"/>
          <w:numId w:val="1007"/>
        </w:numPr>
        <w:pStyle w:val="Compact"/>
      </w:pPr>
      <w:r>
        <w:rPr>
          <w:bCs/>
          <w:b/>
        </w:rPr>
        <w:t xml:space="preserve">Use Phase (Scope 3, Category 11):</w:t>
      </w:r>
      <w:r>
        <w:t xml:space="preserve"> </w:t>
      </w:r>
      <w:r>
        <w:t xml:space="preserve">The energy consumption during the product\'s lifespan contributes significantly (approximately 27%) to the overall footprint, highlighting the importance of energy efficiency for product design and user behavior.</w:t>
      </w:r>
    </w:p>
    <w:p>
      <w:pPr>
        <w:pStyle w:val="FirstParagraph"/>
      </w:pPr>
      <w:r>
        <w:t xml:space="preserve">The reliability of this report is high for the parameters provided. It leverages specific product data (`qvdzijij`, `ylmziqvnri`, `khozyfpiei`, `fjpiuhqktm`, `zkjddlrxhk`, `wtijdmpojq`, `iqltowvhkt`) where available. For background processes and generic material production, industry-average emission factors from reputable databases (Ecoinvent, DEFRA) have been utilized, which are considered reliable for secondary data. Future analyses would benefit from increased primary data collection directly from suppliers across the value chain, particularly for high-impact materials and manufacturing processes, to further enhance accuracy.</w:t>
      </w:r>
    </w:p>
    <w:p>
      <w:r>
        <w:pict>
          <v:rect style="width:0;height:1.5pt" o:hralign="center" o:hrstd="t" o:hr="t"/>
        </w:pict>
      </w:r>
    </w:p>
    <w:bookmarkEnd w:id="35"/>
    <w:bookmarkEnd w:id="36"/>
    <w:bookmarkStart w:id="37" w:name="conclusion-and-recommendations"/>
    <w:p>
      <w:pPr>
        <w:pStyle w:val="Heading2"/>
      </w:pPr>
      <w:r>
        <w:t xml:space="preserve">Conclusion and Recommendations</w:t>
      </w:r>
    </w:p>
    <w:p>
      <w:pPr>
        <w:pStyle w:val="FirstParagraph"/>
      </w:pPr>
      <w:r>
        <w:t xml:space="preserve">The Product Carbon Footprint for one unit of emqommfeok is 50.29 kg CO2e. The major contributors are material acquisition and the product\'s use phase. To mitigate these impacts, lnrjdprhhe should focus on:</w:t>
      </w:r>
    </w:p>
    <w:p>
      <w:pPr>
        <w:numPr>
          <w:ilvl w:val="0"/>
          <w:numId w:val="1008"/>
        </w:numPr>
        <w:pStyle w:val="Compact"/>
      </w:pPr>
      <w:r>
        <w:rPr>
          <w:bCs/>
          <w:b/>
        </w:rPr>
        <w:t xml:space="preserve">Sustainable Material Sourcing:</w:t>
      </w:r>
      <w:r>
        <w:t xml:space="preserve"> </w:t>
      </w:r>
      <w:r>
        <w:t xml:space="preserve">Investigate opportunities for lower-carbon alternatives for high-impact materials like silicon, aluminum, and lithium, or explore suppliers utilizing renewable energy in their production processes.</w:t>
      </w:r>
    </w:p>
    <w:p>
      <w:pPr>
        <w:numPr>
          <w:ilvl w:val="0"/>
          <w:numId w:val="1008"/>
        </w:numPr>
        <w:pStyle w:val="Compact"/>
      </w:pPr>
      <w:r>
        <w:rPr>
          <w:bCs/>
          <w:b/>
        </w:rPr>
        <w:t xml:space="preserve">Energy Efficiency in Use:</w:t>
      </w:r>
      <w:r>
        <w:t xml:space="preserve"> </w:t>
      </w:r>
      <w:r>
        <w:t xml:space="preserve">Further optimize the product\'s energy consumption during its lifespan to reduce the footprint of the use phase.</w:t>
      </w:r>
    </w:p>
    <w:p>
      <w:pPr>
        <w:numPr>
          <w:ilvl w:val="0"/>
          <w:numId w:val="1008"/>
        </w:numPr>
        <w:pStyle w:val="Compact"/>
      </w:pPr>
      <w:r>
        <w:rPr>
          <w:bCs/>
          <w:b/>
        </w:rPr>
        <w:t xml:space="preserve">Supply Chain Engagement:</w:t>
      </w:r>
      <w:r>
        <w:t xml:space="preserve"> </w:t>
      </w:r>
      <w:r>
        <w:t xml:space="preserve">Collaborate with suppliers to obtain more primary data and encourage their own decarbonization efforts, particularly in regions like China with higher grid emission factors.</w:t>
      </w:r>
    </w:p>
    <w:p>
      <w:pPr>
        <w:numPr>
          <w:ilvl w:val="0"/>
          <w:numId w:val="1008"/>
        </w:numPr>
        <w:pStyle w:val="Compact"/>
      </w:pPr>
      <w:r>
        <w:rPr>
          <w:bCs/>
          <w:b/>
        </w:rPr>
        <w:t xml:space="preserve">Circular Economy Initiatives:</w:t>
      </w:r>
      <w:r>
        <w:t xml:space="preserve"> </w:t>
      </w:r>
      <w:r>
        <w:t xml:space="preserve">Continue to strengthen take-back and recycling programs, and explore design for disassembly to maximize material recovery and minimize end-of-life impacts.</w:t>
      </w:r>
    </w:p>
    <w:p>
      <w:pPr>
        <w:pStyle w:val="FirstParagraph"/>
      </w:pPr>
      <w:r>
        <w:t xml:space="preserve">By addressing these hotspots, lnrjdprhhe can significantly reduce the environmental impact of emqommfeok and demonstrate leadership in product sustainability.</w:t>
      </w:r>
    </w:p>
    <w:p>
      <w:pPr>
        <w:pStyle w:val="BodyText"/>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emqommfeok</dc:title>
  <dc:creator/>
  <dc:description>Detailed Product Carbon Footprint (PCF) analysis report for product emqommfeok by lnrjdprhhe, adhering to GHG Protocol standards, including the 2026 Land Sector and Removals (LSR) update and 95% Scope 3 coverage.</dc:description>
  <dc:language>en</dc:language>
  <cp:keywords/>
  <dcterms:created xsi:type="dcterms:W3CDTF">2026-07-15T03:56:38Z</dcterms:created>
  <dcterms:modified xsi:type="dcterms:W3CDTF">2026-07-15T03:56:38Z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