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emdjnpqstf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emdjnpqstf</w:t>
      </w:r>
    </w:p>
    <w:p>
      <w:pPr>
        <w:pStyle w:val="BodyText"/>
      </w:pPr>
      <w:r>
        <w:t xml:space="preserve">For: dlfjlinidk</w:t>
      </w:r>
    </w:p>
    <w:p>
      <w:pPr>
        <w:pStyle w:val="BodyText"/>
      </w:pPr>
      <w:r>
        <w:t xml:space="preserve">Prepared by: nsfftqtlgh, Senior Sustainability Consultant</w:t>
      </w:r>
    </w:p>
    <w:p>
      <w:pPr>
        <w:pStyle w:val="BodyText"/>
      </w:pPr>
      <w:r>
        <w:t xml:space="preserve">Protocol Data (Accounting Standard): GHG Protocol</w:t>
      </w:r>
    </w:p>
    <w:p>
      <w:pPr>
        <w:pStyle w:val="BodyText"/>
      </w:pPr>
      <w:r>
        <w:t xml:space="preserve">Disclaimer: This report is generated based on available data, industry standards, and the parameters provided. While every effort has been made to ensure accuracy and adherence to established methodologies, the results are indicative and subject to the quality and completeness of underlying data sources.</w:t>
      </w:r>
    </w:p>
    <w:bookmarkEnd w:id="20"/>
    <w:bookmarkStart w:id="21" w:name="X63d086f6d0bc30e640f07f90bc14ddd75c2f2e4"/>
    <w:p>
      <w:pPr>
        <w:pStyle w:val="Heading1"/>
      </w:pPr>
      <w:r>
        <w:t xml:space="preserve">Product Carbon Footprint Report for emdjnpqstf</w:t>
      </w:r>
    </w:p>
    <w:p>
      <w:pPr>
        <w:pStyle w:val="FirstParagraph"/>
      </w:pPr>
      <w:r>
        <w:t xml:space="preserve">Generated Date: June 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\'emdjnpqstf\', manufactured by dlfjlinidk. The analysis, conducted by Senior Sustainability Consultant nsfftqtlgh, quantifies the greenhouse gas (GHG) emissions across the product\'s entire lifecycle, from raw material extraction to end-of-life. Adhering strictly to the GHG Protocol, including the 2026 Land Sector and Removals (LSR) Standard update and stringent Scope 3 compliance requirements, this report identifies key emission hotspots and provides a foundational understanding for targeted decarbonization efforts. The total carbon footprint for one functional unit of emdjnpqstf is calculated to be</w:t>
      </w:r>
      <w:r>
        <w:t xml:space="preserve"> </w:t>
      </w:r>
      <w:r>
        <w:rPr>
          <w:bCs/>
          <w:b/>
        </w:rPr>
        <w:t xml:space="preserve">30.14 kgCO2e</w:t>
      </w:r>
      <w:r>
        <w:t xml:space="preserve">.</w:t>
      </w:r>
    </w:p>
    <w:bookmarkEnd w:id="22"/>
    <w:p>
      <w:r>
        <w:pict>
          <v:rect style="width:0;height:1.5pt" o:hralign="center" o:hrstd="t" o:hr="t"/>
        </w:pict>
      </w:r>
    </w:p>
    <w:bookmarkStart w:id="30" w:name="introduction-and-scope-definition"/>
    <w:p>
      <w:pPr>
        <w:pStyle w:val="Heading2"/>
      </w:pPr>
      <w:r>
        <w:t xml:space="preserve">1. Introduction and Scope Definition</w:t>
      </w:r>
    </w:p>
    <w:p>
      <w:pPr>
        <w:pStyle w:val="FirstParagraph"/>
      </w:pPr>
      <w:r>
        <w:t xml:space="preserve">This Product Carbon Footprint (PCF) analysis is performed for the product \'emdjnpqstf\' to assess its environmental impact in terms of greenhouse gas emissions. The methodology follows the Greenhouse Gas (GHG) Protocol standards, providing a comprehensive and transparent accounting of emissions across the product\'s lifecycle.</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emdjnpqstf</w:t>
      </w:r>
      <w:r>
        <w:t xml:space="preserve">. This unit serves as the reference basis for all quantified inputs and outputs throughout the product\'s life cycle.</w:t>
      </w:r>
    </w:p>
    <w:bookmarkEnd w:id="23"/>
    <w:bookmarkStart w:id="24" w:name="system-boundary"/>
    <w:p>
      <w:pPr>
        <w:pStyle w:val="Heading3"/>
      </w:pPr>
      <w:r>
        <w:t xml:space="preserve">1.2. System Boundary</w:t>
      </w:r>
    </w:p>
    <w:p>
      <w:pPr>
        <w:numPr>
          <w:ilvl w:val="0"/>
          <w:numId w:val="1002"/>
        </w:numPr>
        <w:pStyle w:val="Compact"/>
      </w:pPr>
      <w:r>
        <w:t xml:space="preserve">The system boundary adopted is</w:t>
      </w:r>
      <w:r>
        <w:t xml:space="preserve"> </w:t>
      </w:r>
      <w:r>
        <w:rPr>
          <w:bCs/>
          <w:b/>
        </w:rPr>
        <w:t xml:space="preserve">\'factory_gate\'</w:t>
      </w:r>
      <w:r>
        <w:t xml:space="preserve">, extending to include significant upstream (raw materials, transport), production (manufacturing energy), use phase, and end-of-life (EoL) impacts. This cradle-to-grave approach ensures a holistic assessment.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geographic scope helps in selecting appropriate, regionally specific emission factors for electricity, transportation, and material sourcing where available.</w:t>
      </w:r>
    </w:p>
    <w:bookmarkEnd w:id="25"/>
    <w:bookmarkStart w:id="26" w:name="accounting-standard"/>
    <w:p>
      <w:pPr>
        <w:pStyle w:val="Heading3"/>
      </w:pPr>
      <w:r>
        <w:t xml:space="preserve">1.4. Accounting Standard</w:t>
      </w:r>
    </w:p>
    <w:p>
      <w:pPr>
        <w:numPr>
          <w:ilvl w:val="0"/>
          <w:numId w:val="1004"/>
        </w:numPr>
        <w:pStyle w:val="Compact"/>
      </w:pPr>
      <w:r>
        <w:t xml:space="preserve">This PCF analysis strictly adheres to the</w:t>
      </w:r>
      <w:r>
        <w:t xml:space="preserve"> </w:t>
      </w:r>
      <w:r>
        <w:rPr>
          <w:bCs/>
          <w:b/>
        </w:rPr>
        <w:t xml:space="preserve">GHG Protocol</w:t>
      </w:r>
      <w:r>
        <w:t xml:space="preserve">, which provides the world\'s most widely used greenhouse gas accounting standards. This ensures consistency, comparability, and reliability of the reported emissions.</w:t>
      </w:r>
    </w:p>
    <w:bookmarkEnd w:id="26"/>
    <w:bookmarkStart w:id="27" w:name="ghg-protocol-emission-categorization"/>
    <w:p>
      <w:pPr>
        <w:pStyle w:val="Heading3"/>
      </w:pPr>
      <w:r>
        <w:t xml:space="preserve">1.5. GHG Protocol Emission Categorization</w:t>
      </w:r>
    </w:p>
    <w:p>
      <w:pPr>
        <w:pStyle w:val="FirstParagraph"/>
      </w:pPr>
      <w:r>
        <w:t xml:space="preserve">Emissions are categorized into three scopes as per the GHG Protocol:</w:t>
      </w:r>
    </w:p>
    <w:p>
      <w:pPr>
        <w:numPr>
          <w:ilvl w:val="0"/>
          <w:numId w:val="1005"/>
        </w:numPr>
        <w:pStyle w:val="Compact"/>
      </w:pPr>
      <w:r>
        <w:rPr>
          <w:bCs/>
          <w:b/>
        </w:rPr>
        <w:t xml:space="preserve">Scope 1: Direct Emissions.</w:t>
      </w:r>
      <w:r>
        <w:t xml:space="preserve"> </w:t>
      </w:r>
      <w:r>
        <w:t xml:space="preserve">Emissions from sources owned or controlled by dlfjlinidk (e.g., on-site fuel combustion). For this product-level PCF with a \'factory_gate\' boundary, direct process emissions from manufacturing are considered.</w:t>
      </w:r>
    </w:p>
    <w:p>
      <w:pPr>
        <w:numPr>
          <w:ilvl w:val="0"/>
          <w:numId w:val="1005"/>
        </w:numPr>
        <w:pStyle w:val="Compact"/>
      </w:pPr>
      <w:r>
        <w:rPr>
          <w:bCs/>
          <w:b/>
        </w:rPr>
        <w:t xml:space="preserve">Scope 2: Indirect Emissions from Purchased Energy.</w:t>
      </w:r>
      <w:r>
        <w:t xml:space="preserve"> </w:t>
      </w:r>
      <w:r>
        <w:t xml:space="preserve">Emissions from the generation of purchased electricity, heat, or steam consumed by dlfjlinidk\'s operations.</w:t>
      </w:r>
    </w:p>
    <w:p>
      <w:pPr>
        <w:numPr>
          <w:ilvl w:val="0"/>
          <w:numId w:val="1005"/>
        </w:numPr>
        <w:pStyle w:val="Compact"/>
      </w:pPr>
      <w:r>
        <w:rPr>
          <w:bCs/>
          <w:b/>
        </w:rPr>
        <w:t xml:space="preserve">Scope 3: Other Indirect Emissions (Value Chain).</w:t>
      </w:r>
      <w:r>
        <w:t xml:space="preserve"> </w:t>
      </w:r>
      <w:r>
        <w:t xml:space="preserve">All other indirect emissions occurring in the value chain of dlfjlinidk, both upstream (e.g., purchased goods, upstream transportation) and downstream (e.g., product use, end-of-life treatment).</w:t>
      </w:r>
    </w:p>
    <w:bookmarkEnd w:id="27"/>
    <w:bookmarkStart w:id="28" w:name="lsr-update-application"/>
    <w:p>
      <w:pPr>
        <w:pStyle w:val="Heading3"/>
      </w:pPr>
      <w:r>
        <w:t xml:space="preserve">1.6. 2026 LSR Update Application</w:t>
      </w:r>
    </w:p>
    <w:p>
      <w:pPr>
        <w:pStyle w:val="FirstParagraph"/>
      </w:pPr>
      <w:r>
        <w:t xml:space="preserve">This report acknowledges the application of the GHG Protocol\'s Land Sector and Removals (LSR) Standard, released on January 30, 2026, and effective from January 1, 2027. The LSR Standard provides requirements for quantifying, reporting, and tracking land emissions, CO2 removals, and technological CO2 removals. While direct land use change for generic raw materials is typically embedded within broader emission factors, dlfjlinidk commits to integrating specific LSR guidance as it becomes available and relevant to its supply chain, particularly for any bio-based components or land-intensive processes not fully captured by generic factors. The accompanying guidance is expected in Q2 2026.</w:t>
      </w:r>
    </w:p>
    <w:bookmarkEnd w:id="28"/>
    <w:bookmarkStart w:id="29" w:name="scope-3-compliance"/>
    <w:p>
      <w:pPr>
        <w:pStyle w:val="Heading3"/>
      </w:pPr>
      <w:r>
        <w:t xml:space="preserve">1.7. Scope 3 Compliance</w:t>
      </w:r>
    </w:p>
    <w:p>
      <w:pPr>
        <w:pStyle w:val="FirstParagraph"/>
      </w:pPr>
      <w:r>
        <w:t xml:space="preserve">In anticipation of the 2026 GHG Protocol Scope 3 revision requirements, this analysis aims for at least 95% coverage of total required Scope 3 emissions. The proposed revisions emphasize a prescriptive completeness requirement, meaning that exclusions should not exceed 5% of required Scope 3 emissions, and any exclusions must be quantified, disclosed, and justified. This report meticulously details the primary Scope 3 categories relevant to \'emdjnpqstf\' to ensure robust coverage.</w:t>
      </w:r>
    </w:p>
    <w:bookmarkEnd w:id="29"/>
    <w:bookmarkEnd w:id="30"/>
    <w:p>
      <w:r>
        <w:pict>
          <v:rect style="width:0;height:1.5pt" o:hralign="center" o:hrstd="t" o:hr="t"/>
        </w:pict>
      </w:r>
    </w:p>
    <w:bookmarkStart w:id="36" w:name="lifecycle-mapping-and-data-collection"/>
    <w:p>
      <w:pPr>
        <w:pStyle w:val="Heading2"/>
      </w:pPr>
      <w:r>
        <w:t xml:space="preserve">2. Lifecycle Mapping and Data Collection</w:t>
      </w:r>
    </w:p>
    <w:p>
      <w:pPr>
        <w:pStyle w:val="FirstParagraph"/>
      </w:pPr>
      <w:r>
        <w:t xml:space="preserve">The lifecycle of \'emdjnpqstf\' has been mapped into five key stages: Material Acquisition, Manufacturing, Transportation, Use Phase, and End-of-Life. Data was collected from provided parameters and supplemented with industry-standard emission factors where necessary.</w:t>
      </w:r>
    </w:p>
    <w:bookmarkStart w:id="31" w:name="Xdf555522d6796274c2eaee893dc9d9b5fe427d0"/>
    <w:p>
      <w:pPr>
        <w:pStyle w:val="Heading3"/>
      </w:pPr>
      <w:r>
        <w:t xml:space="preserve">2.1. Material Acquisition &amp; Bill of Materials (BOM) - (Scope 3, Category 1)</w:t>
      </w:r>
    </w:p>
    <w:p>
      <w:pPr>
        <w:pStyle w:val="FirstParagraph"/>
      </w:pPr>
      <w:r>
        <w:t xml:space="preserve">The detailed Bill of Materials (BOM) for \'guzghssx\' (representing \'emdjnpqstf\') was used to calculate the high-accuracy material impact. The table below outlines the components, quantities, and their associated carbon footprints based on the provided data, which inherently includes emissions from raw material extraction and processing.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Chassis</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2</w:t>
            </w:r>
          </w:p>
        </w:tc>
        <w:tc>
          <w:tcPr/>
          <w:p>
            <w:pPr>
              <w:pStyle w:val="Compact"/>
              <w:jc w:val="left"/>
            </w:pPr>
            <w:r>
              <w:t xml:space="preserve">Recycled 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2.8</w:t>
            </w:r>
          </w:p>
        </w:tc>
        <w:tc>
          <w:tcPr/>
          <w:p>
            <w:pPr>
              <w:pStyle w:val="Compact"/>
              <w:jc w:val="left"/>
            </w:pPr>
            <w:r>
              <w:t xml:space="preserve">2.80</w:t>
            </w:r>
          </w:p>
        </w:tc>
      </w:tr>
      <w:tr>
        <w:tc>
          <w:tcPr/>
          <w:p>
            <w:pPr>
              <w:pStyle w:val="Compact"/>
              <w:jc w:val="left"/>
            </w:pPr>
            <w:r>
              <w:t xml:space="preserve">4</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6</w:t>
            </w:r>
          </w:p>
        </w:tc>
        <w:tc>
          <w:tcPr/>
          <w:p>
            <w:pPr>
              <w:pStyle w:val="Compact"/>
              <w:jc w:val="left"/>
            </w:pPr>
            <w:r>
              <w:t xml:space="preserve">Protective Packaging (Recycled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Carbon:</w:t>
            </w:r>
          </w:p>
        </w:tc>
        <w:tc>
          <w:tcPr/>
          <w:p>
            <w:pPr>
              <w:pStyle w:val="Compact"/>
              <w:jc w:val="left"/>
            </w:pPr>
            <w:r>
              <w:rPr>
                <w:bCs/>
                <w:b/>
              </w:rPr>
              <w:t xml:space="preserve">19.05 kgCO2e</w:t>
            </w:r>
          </w:p>
        </w:tc>
      </w:tr>
      <w:tr>
        <w:tc>
          <w:tcPr>
            <w:gridSpan w:val="7"/>
          </w:tcPr>
          <w:p>
            <w:pPr>
              <w:pStyle w:val="Compact"/>
              <w:jc w:val="right"/>
            </w:pPr>
            <w:r>
              <w:rPr>
                <w:bCs/>
                <w:b/>
              </w:rPr>
              <w:t xml:space="preserve">Estimated Total Product Mass (for EoL &amp; Transport):</w:t>
            </w:r>
          </w:p>
        </w:tc>
        <w:tc>
          <w:tcPr/>
          <w:p>
            <w:pPr>
              <w:pStyle w:val="Compact"/>
              <w:jc w:val="left"/>
            </w:pPr>
            <w:r>
              <w:rPr>
                <w:bCs/>
                <w:b/>
              </w:rPr>
              <w:t xml:space="preserve">1.6 kg</w:t>
            </w:r>
          </w:p>
        </w:tc>
      </w:tr>
    </w:tbl>
    <w:bookmarkEnd w:id="31"/>
    <w:bookmarkStart w:id="32" w:name="manufacturing-energy---scope-2"/>
    <w:p>
      <w:pPr>
        <w:pStyle w:val="Heading3"/>
      </w:pPr>
      <w:r>
        <w:t xml:space="preserve">2.2. Manufacturing Energy - (Scope 2)</w:t>
      </w:r>
    </w:p>
    <w:p>
      <w:pPr>
        <w:pStyle w:val="FirstParagraph"/>
      </w:pPr>
      <w:r>
        <w:t xml:space="preserve">The energy consumed during the production phase at the factory in China is a significant contributor to the PCF. The following data was used:</w:t>
      </w:r>
    </w:p>
    <w:p>
      <w:pPr>
        <w:numPr>
          <w:ilvl w:val="0"/>
          <w:numId w:val="1006"/>
        </w:numPr>
        <w:pStyle w:val="Compact"/>
      </w:pPr>
      <w:r>
        <w:rPr>
          <w:bCs/>
          <w:b/>
        </w:rPr>
        <w:t xml:space="preserve">Energy Intensity (kWh/unit):</w:t>
      </w:r>
      <w:r>
        <w:t xml:space="preserve"> </w:t>
      </w:r>
      <w:r>
        <w:t xml:space="preserve">tusysndsxr (5 kWh/unit)</w:t>
      </w:r>
    </w:p>
    <w:p>
      <w:pPr>
        <w:numPr>
          <w:ilvl w:val="0"/>
          <w:numId w:val="1006"/>
        </w:numPr>
        <w:pStyle w:val="Compact"/>
      </w:pPr>
      <w:r>
        <w:rPr>
          <w:bCs/>
          <w:b/>
        </w:rPr>
        <w:t xml:space="preserve">Renewable Energy Usage:</w:t>
      </w:r>
      <w:r>
        <w:t xml:space="preserve"> </w:t>
      </w:r>
      <w:r>
        <w:t xml:space="preserve">mehpltxtnz (70%)</w:t>
      </w:r>
    </w:p>
    <w:p>
      <w:pPr>
        <w:numPr>
          <w:ilvl w:val="0"/>
          <w:numId w:val="1006"/>
        </w:numPr>
        <w:pStyle w:val="Compact"/>
      </w:pPr>
      <w:r>
        <w:rPr>
          <w:bCs/>
          <w:b/>
        </w:rPr>
        <w:t xml:space="preserve">Non-renewable Electricity:</w:t>
      </w:r>
      <w:r>
        <w:t xml:space="preserve"> </w:t>
      </w:r>
      <w:r>
        <w:t xml:space="preserve">5 kWh/unit * (1 - 0.70) = 1.5 kWh/unit</w:t>
      </w:r>
    </w:p>
    <w:p>
      <w:pPr>
        <w:numPr>
          <w:ilvl w:val="0"/>
          <w:numId w:val="1006"/>
        </w:numPr>
        <w:pStyle w:val="Compact"/>
      </w:pPr>
      <w:r>
        <w:rPr>
          <w:bCs/>
          <w:b/>
        </w:rPr>
        <w:t xml:space="preserve">China Grid Emission Factor:</w:t>
      </w:r>
      <w:r>
        <w:t xml:space="preserve"> </w:t>
      </w:r>
      <w:r>
        <w:t xml:space="preserve">0.70 kgCO2e/kWh (average for China, based on various reports of regional and national grid mixes)</w:t>
      </w:r>
    </w:p>
    <w:bookmarkEnd w:id="32"/>
    <w:bookmarkStart w:id="33" w:name="transportation---scope-3-category-4-9"/>
    <w:p>
      <w:pPr>
        <w:pStyle w:val="Heading3"/>
      </w:pPr>
      <w:r>
        <w:t xml:space="preserve">2.3. Transportation - (Scope 3, Category 4 &amp; 9)</w:t>
      </w:r>
    </w:p>
    <w:p>
      <w:pPr>
        <w:pStyle w:val="FirstParagraph"/>
      </w:pPr>
      <w:r>
        <w:t xml:space="preserve">Logistics play a crucial role in the overall footprint. This analysis considers both upstream (raw materials to factory) and downstream (factory to market, and last-mile) transport.</w:t>
      </w:r>
    </w:p>
    <w:p>
      <w:pPr>
        <w:numPr>
          <w:ilvl w:val="0"/>
          <w:numId w:val="1007"/>
        </w:numPr>
        <w:pStyle w:val="Compact"/>
      </w:pPr>
      <w:r>
        <w:rPr>
          <w:bCs/>
          <w:b/>
        </w:rPr>
        <w:t xml:space="preserve">Transport Mode (General):</w:t>
      </w:r>
      <w:r>
        <w:t xml:space="preserve"> </w:t>
      </w:r>
      <w:r>
        <w:t xml:space="preserve">Select Mode (Assumed: Ocean Freight for upstream long-haul, Road Freight (HGV) for downstream distribution).</w:t>
      </w:r>
    </w:p>
    <w:p>
      <w:pPr>
        <w:numPr>
          <w:ilvl w:val="0"/>
          <w:numId w:val="1007"/>
        </w:numPr>
        <w:pStyle w:val="Compact"/>
      </w:pPr>
      <w:r>
        <w:rPr>
          <w:bCs/>
          <w:b/>
        </w:rPr>
        <w:t xml:space="preserve">Transport Distance:</w:t>
      </w:r>
      <w:r>
        <w:t xml:space="preserve"> </w:t>
      </w:r>
      <w:r>
        <w:t xml:space="preserve">wphmtjdzyu (Assumed: 5000 km for average upstream component transport, 1000 km for downstream factory-to-distribution).</w:t>
      </w:r>
    </w:p>
    <w:p>
      <w:pPr>
        <w:numPr>
          <w:ilvl w:val="0"/>
          <w:numId w:val="1007"/>
        </w:numPr>
        <w:pStyle w:val="Compact"/>
      </w:pPr>
      <w:r>
        <w:rPr>
          <w:bCs/>
          <w:b/>
        </w:rPr>
        <w:t xml:space="preserve">Last-Mile Delivery Channel:</w:t>
      </w:r>
      <w:r>
        <w:t xml:space="preserve"> </w:t>
      </w:r>
      <w:r>
        <w:t xml:space="preserve">Delivery Type (Assumed: Express Courier).</w:t>
      </w:r>
    </w:p>
    <w:p>
      <w:pPr>
        <w:numPr>
          <w:ilvl w:val="0"/>
          <w:numId w:val="1007"/>
        </w:numPr>
        <w:pStyle w:val="Compact"/>
      </w:pPr>
      <w:r>
        <w:rPr>
          <w:bCs/>
          <w:b/>
        </w:rPr>
        <w:t xml:space="preserve">Ocean Freight Emission Factor:</w:t>
      </w:r>
      <w:r>
        <w:t xml:space="preserve"> </w:t>
      </w:r>
      <w:r>
        <w:t xml:space="preserve">0.01 kgCO2e/tkm (representative for intercontinental shipping).</w:t>
      </w:r>
    </w:p>
    <w:p>
      <w:pPr>
        <w:numPr>
          <w:ilvl w:val="0"/>
          <w:numId w:val="1007"/>
        </w:numPr>
        <w:pStyle w:val="Compact"/>
      </w:pPr>
      <w:r>
        <w:rPr>
          <w:bCs/>
          <w:b/>
        </w:rPr>
        <w:t xml:space="preserve">Road Freight Emission Factor:</w:t>
      </w:r>
      <w:r>
        <w:t xml:space="preserve"> </w:t>
      </w:r>
      <w:r>
        <w:t xml:space="preserve">0.09 kgCO2e/tkm (representative for general heavy goods transport).</w:t>
      </w:r>
    </w:p>
    <w:p>
      <w:pPr>
        <w:numPr>
          <w:ilvl w:val="0"/>
          <w:numId w:val="1007"/>
        </w:numPr>
        <w:pStyle w:val="Compact"/>
      </w:pPr>
      <w:r>
        <w:rPr>
          <w:bCs/>
          <w:b/>
        </w:rPr>
        <w:t xml:space="preserve">Last-Mile Delivery Emission Factor:</w:t>
      </w:r>
      <w:r>
        <w:t xml:space="preserve"> </w:t>
      </w:r>
      <w:r>
        <w:t xml:space="preserve">0.5 kgCO2e/unit (representative for express courier services).</w:t>
      </w:r>
    </w:p>
    <w:bookmarkEnd w:id="33"/>
    <w:bookmarkStart w:id="34" w:name="use-phase---scope-3-category-11"/>
    <w:p>
      <w:pPr>
        <w:pStyle w:val="Heading3"/>
      </w:pPr>
      <w:r>
        <w:t xml:space="preserve">2.4. Use Phase - (Scope 3, Category 11)</w:t>
      </w:r>
    </w:p>
    <w:p>
      <w:pPr>
        <w:pStyle w:val="FirstParagraph"/>
      </w:pPr>
      <w:r>
        <w:t xml:space="preserve">The emissions during the product\'s use by the consumer are critical for many electronic products. This calculation incorporates specific durability and consumption data:</w:t>
      </w:r>
    </w:p>
    <w:p>
      <w:pPr>
        <w:numPr>
          <w:ilvl w:val="0"/>
          <w:numId w:val="1008"/>
        </w:numPr>
        <w:pStyle w:val="Compact"/>
      </w:pPr>
      <w:r>
        <w:rPr>
          <w:bCs/>
          <w:b/>
        </w:rPr>
        <w:t xml:space="preserve">Product Lifespan:</w:t>
      </w:r>
      <w:r>
        <w:t xml:space="preserve"> </w:t>
      </w:r>
      <w:r>
        <w:t xml:space="preserve">whfeqwlhsr (5 years)</w:t>
      </w:r>
    </w:p>
    <w:p>
      <w:pPr>
        <w:numPr>
          <w:ilvl w:val="0"/>
          <w:numId w:val="1008"/>
        </w:numPr>
        <w:pStyle w:val="Compact"/>
      </w:pPr>
      <w:r>
        <w:rPr>
          <w:bCs/>
          <w:b/>
        </w:rPr>
        <w:t xml:space="preserve">Energy Consumption in Use:</w:t>
      </w:r>
      <w:r>
        <w:t xml:space="preserve"> </w:t>
      </w:r>
      <w:r>
        <w:t xml:space="preserve">oprhkwhrxx (10 kWh/year)</w:t>
      </w:r>
    </w:p>
    <w:p>
      <w:pPr>
        <w:numPr>
          <w:ilvl w:val="0"/>
          <w:numId w:val="1008"/>
        </w:numPr>
        <w:pStyle w:val="Compact"/>
      </w:pPr>
      <w:r>
        <w:rPr>
          <w:bCs/>
          <w:b/>
        </w:rPr>
        <w:t xml:space="preserve">European Average Grid Emission Factor:</w:t>
      </w:r>
      <w:r>
        <w:t xml:space="preserve"> </w:t>
      </w:r>
      <w:r>
        <w:t xml:space="preserve">0.200 kgCO2e/kWh (average for Europe, where product is primarily consumed)</w:t>
      </w:r>
    </w:p>
    <w:bookmarkEnd w:id="34"/>
    <w:bookmarkStart w:id="35" w:name="Xf36e5a9dfaf2131a72e04c350204ec19c4ea044"/>
    <w:p>
      <w:pPr>
        <w:pStyle w:val="Heading3"/>
      </w:pPr>
      <w:r>
        <w:t xml:space="preserve">2.5. End-of-Life (EoL) Scenarios - (Scope 3, Category 12)</w:t>
      </w:r>
    </w:p>
    <w:p>
      <w:pPr>
        <w:pStyle w:val="FirstParagraph"/>
      </w:pPr>
      <w:r>
        <w:t xml:space="preserve">The circular economy impacts are considered by incorporating end-of-life scenarios:</w:t>
      </w:r>
    </w:p>
    <w:p>
      <w:pPr>
        <w:numPr>
          <w:ilvl w:val="0"/>
          <w:numId w:val="1009"/>
        </w:numPr>
        <w:pStyle w:val="Compact"/>
      </w:pPr>
      <w:r>
        <w:rPr>
          <w:bCs/>
          <w:b/>
        </w:rPr>
        <w:t xml:space="preserve">Recyclability Percentage:</w:t>
      </w:r>
      <w:r>
        <w:t xml:space="preserve"> </w:t>
      </w:r>
      <w:r>
        <w:t xml:space="preserve">tfjtsrlxoi (80%)</w:t>
      </w:r>
    </w:p>
    <w:p>
      <w:pPr>
        <w:numPr>
          <w:ilvl w:val="0"/>
          <w:numId w:val="1009"/>
        </w:numPr>
        <w:pStyle w:val="Compact"/>
      </w:pPr>
      <w:r>
        <w:rPr>
          <w:bCs/>
          <w:b/>
        </w:rPr>
        <w:t xml:space="preserve">Circular/Take-back Programs:</w:t>
      </w:r>
      <w:r>
        <w:t xml:space="preserve"> </w:t>
      </w:r>
      <w:r>
        <w:t xml:space="preserve">uipzonkonj (Yes)</w:t>
      </w:r>
    </w:p>
    <w:p>
      <w:pPr>
        <w:numPr>
          <w:ilvl w:val="0"/>
          <w:numId w:val="1009"/>
        </w:numPr>
        <w:pStyle w:val="Compact"/>
      </w:pPr>
      <w:r>
        <w:rPr>
          <w:bCs/>
          <w:b/>
        </w:rPr>
        <w:t xml:space="preserve">Disposed Portion:</w:t>
      </w:r>
      <w:r>
        <w:t xml:space="preserve"> </w:t>
      </w:r>
      <w:r>
        <w:t xml:space="preserve">20% of product mass. Landfill Emission Factor: 0.1 kgCO2e/kg (for mixed waste disposal).</w:t>
      </w:r>
    </w:p>
    <w:p>
      <w:pPr>
        <w:numPr>
          <w:ilvl w:val="0"/>
          <w:numId w:val="1009"/>
        </w:numPr>
        <w:pStyle w:val="Compact"/>
      </w:pPr>
      <w:r>
        <w:rPr>
          <w:bCs/>
          <w:b/>
        </w:rPr>
        <w:t xml:space="preserve">Recycled Portion:</w:t>
      </w:r>
      <w:r>
        <w:t xml:space="preserve"> </w:t>
      </w:r>
      <w:r>
        <w:t xml:space="preserve">80% of product mass. Recycling Credit: -0.5 kgCO2e/kg (simplified average for avoided virgin material production, acknowledging variations by material type).</w:t>
      </w:r>
    </w:p>
    <w:bookmarkEnd w:id="35"/>
    <w:bookmarkEnd w:id="36"/>
    <w:p>
      <w:r>
        <w:pict>
          <v:rect style="width:0;height:1.5pt" o:hralign="center" o:hrstd="t" o:hr="t"/>
        </w:pict>
      </w:r>
    </w:p>
    <w:bookmarkStart w:id="46" w:name="X439a6e6dcb43c636bf515ffaf3f59bce0bd6490"/>
    <w:p>
      <w:pPr>
        <w:pStyle w:val="Heading2"/>
      </w:pPr>
      <w:r>
        <w:t xml:space="preserve">3. Emission Calculation (Activity * Emission Factor = CO2e)</w:t>
      </w:r>
    </w:p>
    <w:p>
      <w:pPr>
        <w:pStyle w:val="FirstParagraph"/>
      </w:pPr>
      <w:r>
        <w:t xml:space="preserve">This section details the calculation of emissions for each lifecycle stage, categorized by GHG Protocol scopes.</w:t>
      </w:r>
    </w:p>
    <w:bookmarkStart w:id="37" w:name="scope-1-direct-emissions"/>
    <w:p>
      <w:pPr>
        <w:pStyle w:val="Heading3"/>
      </w:pPr>
      <w:r>
        <w:t xml:space="preserve">3.1. Scope 1: Direct Emissions</w:t>
      </w:r>
    </w:p>
    <w:p>
      <w:pPr>
        <w:pStyle w:val="FirstParagraph"/>
      </w:pPr>
      <w:r>
        <w:t xml:space="preserve">Given the \'factory_gate\' system boundary and the nature of the product, direct Scope 1 emissions (e.g., on-site fuel combustion) are assumed to be negligible for the product\'s PCF or are implicitly included in the emission factors of purchased materials and energy. For a corporate inventory, these would be separately accounted for at the facility level.</w:t>
      </w:r>
    </w:p>
    <w:p>
      <w:pPr>
        <w:pStyle w:val="BodyText"/>
      </w:pPr>
      <w:r>
        <w:rPr>
          <w:bCs/>
          <w:b/>
        </w:rPr>
        <w:t xml:space="preserve">Total Scope 1 Emissions: 0.00 kgCO2e</w:t>
      </w:r>
    </w:p>
    <w:bookmarkEnd w:id="37"/>
    <w:bookmarkStart w:id="38" w:name="X1b148881cd9a6a3887d7cbc67298d0d2fc1c88b"/>
    <w:p>
      <w:pPr>
        <w:pStyle w:val="Heading3"/>
      </w:pPr>
      <w:r>
        <w:t xml:space="preserve">3.2. Scope 2: Indirect Emissions from Purchased Electricity (Production Phase)</w:t>
      </w:r>
    </w:p>
    <w:p>
      <w:pPr>
        <w:pStyle w:val="FirstParagraph"/>
      </w:pPr>
      <w:r>
        <w:t xml:space="preserve">Emissions from electricity purchased for manufacturing operations.</w:t>
      </w:r>
    </w:p>
    <w:p>
      <w:pPr>
        <w:numPr>
          <w:ilvl w:val="0"/>
          <w:numId w:val="1010"/>
        </w:numPr>
        <w:pStyle w:val="Compact"/>
      </w:pPr>
      <w:r>
        <w:t xml:space="preserve">Non-renewable Electricity Consumption: 1.5 kWh/unit</w:t>
      </w:r>
    </w:p>
    <w:p>
      <w:pPr>
        <w:numPr>
          <w:ilvl w:val="0"/>
          <w:numId w:val="1010"/>
        </w:numPr>
        <w:pStyle w:val="Compact"/>
      </w:pPr>
      <w:r>
        <w:t xml:space="preserve">China Grid Emission Factor: 0.70 kgCO2e/kWh</w:t>
      </w:r>
    </w:p>
    <w:p>
      <w:pPr>
        <w:numPr>
          <w:ilvl w:val="0"/>
          <w:numId w:val="1010"/>
        </w:numPr>
        <w:pStyle w:val="Compact"/>
      </w:pPr>
      <w:r>
        <w:rPr>
          <w:bCs/>
          <w:b/>
        </w:rPr>
        <w:t xml:space="preserve">Calculation:</w:t>
      </w:r>
      <w:r>
        <w:t xml:space="preserve"> </w:t>
      </w:r>
      <w:r>
        <w:t xml:space="preserve">1.5 kWh/unit * 0.70 kgCO2e/kWh = 1.05 kgCO2e</w:t>
      </w:r>
    </w:p>
    <w:p>
      <w:pPr>
        <w:pStyle w:val="FirstParagraph"/>
      </w:pPr>
      <w:r>
        <w:rPr>
          <w:bCs/>
          <w:b/>
        </w:rPr>
        <w:t xml:space="preserve">Total Scope 2 Emissions: 1.05 kgCO2e</w:t>
      </w:r>
    </w:p>
    <w:bookmarkEnd w:id="38"/>
    <w:bookmarkStart w:id="44" w:name="Xd1c2b652bc5876514f180a21f002993b8de8e83"/>
    <w:p>
      <w:pPr>
        <w:pStyle w:val="Heading3"/>
      </w:pPr>
      <w:r>
        <w:t xml:space="preserve">3.3. Scope 3: Other Indirect Emissions (Value Chain)</w:t>
      </w:r>
    </w:p>
    <w:p>
      <w:pPr>
        <w:pStyle w:val="FirstParagraph"/>
      </w:pPr>
      <w:r>
        <w:t xml:space="preserve">This covers the largest portion of the product\'s footprint, including materials, transportation, product use, and end-of-life.</w:t>
      </w:r>
    </w:p>
    <w:bookmarkStart w:id="39" w:name="Xab9729a0caae076ca89f2f71668734f92723cf2"/>
    <w:p>
      <w:pPr>
        <w:pStyle w:val="Heading4"/>
      </w:pPr>
      <w:r>
        <w:t xml:space="preserve">3.3.1. Category 1: Purchased Goods and Services (Materials)</w:t>
      </w:r>
    </w:p>
    <w:p>
      <w:pPr>
        <w:pStyle w:val="FirstParagraph"/>
      </w:pPr>
      <w:r>
        <w:t xml:space="preserve">Emissions from the production of raw materials and components, derived directly from the detailed Bill of Materials.</w:t>
      </w:r>
    </w:p>
    <w:p>
      <w:pPr>
        <w:numPr>
          <w:ilvl w:val="0"/>
          <w:numId w:val="1011"/>
        </w:numPr>
        <w:pStyle w:val="Compact"/>
      </w:pPr>
      <w:r>
        <w:t xml:space="preserve">Total Material Carbon (from BOM): 19.05 kgCO2e</w:t>
      </w:r>
    </w:p>
    <w:p>
      <w:pPr>
        <w:pStyle w:val="FirstParagraph"/>
      </w:pPr>
      <w:r>
        <w:rPr>
          <w:bCs/>
          <w:b/>
        </w:rPr>
        <w:t xml:space="preserve">Subtotal Scope 3, Category 1 Emissions: 19.05 kgCO2e</w:t>
      </w:r>
    </w:p>
    <w:bookmarkEnd w:id="39"/>
    <w:bookmarkStart w:id="40" w:name="X1cc3ad78ec37680d04cb78df7a1006900880731"/>
    <w:p>
      <w:pPr>
        <w:pStyle w:val="Heading4"/>
      </w:pPr>
      <w:r>
        <w:t xml:space="preserve">3.3.2. Category 4: Upstream Transportation and Distribution (Components to Factory)</w:t>
      </w:r>
    </w:p>
    <w:p>
      <w:pPr>
        <w:pStyle w:val="FirstParagraph"/>
      </w:pPr>
      <w:r>
        <w:t xml:space="preserve">Emissions from transporting raw materials and components from Europe-focused suppliers to the factory in China.</w:t>
      </w:r>
    </w:p>
    <w:p>
      <w:pPr>
        <w:numPr>
          <w:ilvl w:val="0"/>
          <w:numId w:val="1012"/>
        </w:numPr>
        <w:pStyle w:val="Compact"/>
      </w:pPr>
      <w:r>
        <w:t xml:space="preserve">Estimated Total Product Mass for Transport: 1.6 kg</w:t>
      </w:r>
    </w:p>
    <w:p>
      <w:pPr>
        <w:numPr>
          <w:ilvl w:val="0"/>
          <w:numId w:val="1012"/>
        </w:numPr>
        <w:pStyle w:val="Compact"/>
      </w:pPr>
      <w:r>
        <w:t xml:space="preserve">Average Upstream Transport Distance (Ocean Freight): 5000 km</w:t>
      </w:r>
    </w:p>
    <w:p>
      <w:pPr>
        <w:numPr>
          <w:ilvl w:val="0"/>
          <w:numId w:val="1012"/>
        </w:numPr>
        <w:pStyle w:val="Compact"/>
      </w:pPr>
      <w:r>
        <w:t xml:space="preserve">Ocean Freight Emission Factor: 0.01 kgCO2e/tkm</w:t>
      </w:r>
    </w:p>
    <w:p>
      <w:pPr>
        <w:numPr>
          <w:ilvl w:val="0"/>
          <w:numId w:val="1012"/>
        </w:numPr>
        <w:pStyle w:val="Compact"/>
      </w:pPr>
      <w:r>
        <w:rPr>
          <w:bCs/>
          <w:b/>
        </w:rPr>
        <w:t xml:space="preserve">Calculation:</w:t>
      </w:r>
      <w:r>
        <w:t xml:space="preserve"> </w:t>
      </w:r>
      <w:r>
        <w:t xml:space="preserve">1.6 kg * (5000 km / 1000 kg/tonne) * 0.01 kgCO2e/tkm = 0.08 kgCO2e</w:t>
      </w:r>
    </w:p>
    <w:p>
      <w:pPr>
        <w:pStyle w:val="FirstParagraph"/>
      </w:pPr>
      <w:r>
        <w:rPr>
          <w:bCs/>
          <w:b/>
        </w:rPr>
        <w:t xml:space="preserve">Subtotal Scope 3, Category 4 Emissions: 0.08 kgCO2e</w:t>
      </w:r>
    </w:p>
    <w:bookmarkEnd w:id="40"/>
    <w:bookmarkStart w:id="41" w:name="X92c393dbacb99da12e54c7f4c5b225ee2b20e70"/>
    <w:p>
      <w:pPr>
        <w:pStyle w:val="Heading4"/>
      </w:pPr>
      <w:r>
        <w:t xml:space="preserve">3.3.3. Category 9: Downstream Transportation and Distribution (Factory to Market &amp; Last Mile)</w:t>
      </w:r>
    </w:p>
    <w:p>
      <w:pPr>
        <w:pStyle w:val="FirstParagraph"/>
      </w:pPr>
      <w:r>
        <w:t xml:space="preserve">Emissions from transporting the finished product from the factory to the market and last-mile delivery to the customer.</w:t>
      </w:r>
    </w:p>
    <w:p>
      <w:pPr>
        <w:numPr>
          <w:ilvl w:val="0"/>
          <w:numId w:val="1013"/>
        </w:numPr>
        <w:pStyle w:val="Compact"/>
      </w:pPr>
      <w:r>
        <w:rPr>
          <w:bCs/>
          <w:b/>
        </w:rPr>
        <w:t xml:space="preserve">Factory to Market (Road Freight):</w:t>
      </w:r>
    </w:p>
    <w:p>
      <w:pPr>
        <w:numPr>
          <w:ilvl w:val="1"/>
          <w:numId w:val="1014"/>
        </w:numPr>
        <w:pStyle w:val="Compact"/>
      </w:pPr>
      <w:r>
        <w:t xml:space="preserve">Product Mass: 1.6 kg</w:t>
      </w:r>
    </w:p>
    <w:p>
      <w:pPr>
        <w:numPr>
          <w:ilvl w:val="1"/>
          <w:numId w:val="1014"/>
        </w:numPr>
        <w:pStyle w:val="Compact"/>
      </w:pPr>
      <w:r>
        <w:t xml:space="preserve">Transport Distance: 1000 km</w:t>
      </w:r>
    </w:p>
    <w:p>
      <w:pPr>
        <w:numPr>
          <w:ilvl w:val="1"/>
          <w:numId w:val="1014"/>
        </w:numPr>
        <w:pStyle w:val="Compact"/>
      </w:pPr>
      <w:r>
        <w:t xml:space="preserve">Road Freight Emission Factor: 0.09 kgCO2e/tkm</w:t>
      </w:r>
    </w:p>
    <w:p>
      <w:pPr>
        <w:numPr>
          <w:ilvl w:val="1"/>
          <w:numId w:val="1014"/>
        </w:numPr>
        <w:pStyle w:val="Compact"/>
      </w:pPr>
      <w:r>
        <w:rPr>
          <w:bCs/>
          <w:b/>
        </w:rPr>
        <w:t xml:space="preserve">Calculation:</w:t>
      </w:r>
      <w:r>
        <w:t xml:space="preserve"> </w:t>
      </w:r>
      <w:r>
        <w:t xml:space="preserve">1.6 kg * (1000 km / 1000 kg/tonne) * 0.09 kgCO2e/tkm = 0.144 kgCO2e</w:t>
      </w:r>
    </w:p>
    <w:p>
      <w:pPr>
        <w:numPr>
          <w:ilvl w:val="0"/>
          <w:numId w:val="1013"/>
        </w:numPr>
        <w:pStyle w:val="Compact"/>
      </w:pPr>
      <w:r>
        <w:rPr>
          <w:bCs/>
          <w:b/>
        </w:rPr>
        <w:t xml:space="preserve">Last-Mile Delivery (Express Courier):</w:t>
      </w:r>
    </w:p>
    <w:p>
      <w:pPr>
        <w:numPr>
          <w:ilvl w:val="1"/>
          <w:numId w:val="1015"/>
        </w:numPr>
        <w:pStyle w:val="Compact"/>
      </w:pPr>
      <w:r>
        <w:t xml:space="preserve">Per Unit Emission Factor: 0.5 kgCO2e/unit</w:t>
      </w:r>
    </w:p>
    <w:p>
      <w:pPr>
        <w:numPr>
          <w:ilvl w:val="1"/>
          <w:numId w:val="1015"/>
        </w:numPr>
        <w:pStyle w:val="Compact"/>
      </w:pPr>
      <w:r>
        <w:rPr>
          <w:bCs/>
          <w:b/>
        </w:rPr>
        <w:t xml:space="preserve">Calculation:</w:t>
      </w:r>
      <w:r>
        <w:t xml:space="preserve"> </w:t>
      </w:r>
      <w:r>
        <w:t xml:space="preserve">1 unit * 0.5 kgCO2e/unit = 0.50 kgCO2e</w:t>
      </w:r>
    </w:p>
    <w:p>
      <w:pPr>
        <w:numPr>
          <w:ilvl w:val="0"/>
          <w:numId w:val="1013"/>
        </w:numPr>
        <w:pStyle w:val="Compact"/>
      </w:pPr>
      <w:r>
        <w:rPr>
          <w:bCs/>
          <w:b/>
        </w:rPr>
        <w:t xml:space="preserve">Total Downstream Transport:</w:t>
      </w:r>
      <w:r>
        <w:t xml:space="preserve"> </w:t>
      </w:r>
      <w:r>
        <w:t xml:space="preserve">0.144 kgCO2e + 0.50 kgCO2e = 0.644 kgCO2e</w:t>
      </w:r>
    </w:p>
    <w:p>
      <w:pPr>
        <w:pStyle w:val="FirstParagraph"/>
      </w:pPr>
      <w:r>
        <w:rPr>
          <w:bCs/>
          <w:b/>
        </w:rPr>
        <w:t xml:space="preserve">Subtotal Scope 3, Category 9 Emissions: 0.644 kgCO2e</w:t>
      </w:r>
    </w:p>
    <w:bookmarkEnd w:id="41"/>
    <w:bookmarkStart w:id="42" w:name="Xcd3fe2e18537b975f5b1b73436db7340e8cdd9c"/>
    <w:p>
      <w:pPr>
        <w:pStyle w:val="Heading4"/>
      </w:pPr>
      <w:r>
        <w:t xml:space="preserve">3.3.4. Category 11: Use of Sold Products (Use Phase)</w:t>
      </w:r>
    </w:p>
    <w:p>
      <w:pPr>
        <w:pStyle w:val="FirstParagraph"/>
      </w:pPr>
      <w:r>
        <w:t xml:space="preserve">Emissions generated during the product\'s operational lifetime by the end-user.</w:t>
      </w:r>
    </w:p>
    <w:p>
      <w:pPr>
        <w:numPr>
          <w:ilvl w:val="0"/>
          <w:numId w:val="1016"/>
        </w:numPr>
        <w:pStyle w:val="Compact"/>
      </w:pPr>
      <w:r>
        <w:t xml:space="preserve">Product Lifespan: 5 years</w:t>
      </w:r>
    </w:p>
    <w:p>
      <w:pPr>
        <w:numPr>
          <w:ilvl w:val="0"/>
          <w:numId w:val="1016"/>
        </w:numPr>
        <w:pStyle w:val="Compact"/>
      </w:pPr>
      <w:r>
        <w:t xml:space="preserve">Annual Energy Consumption in Use: 10 kWh/year</w:t>
      </w:r>
    </w:p>
    <w:p>
      <w:pPr>
        <w:numPr>
          <w:ilvl w:val="0"/>
          <w:numId w:val="1016"/>
        </w:numPr>
        <w:pStyle w:val="Compact"/>
      </w:pPr>
      <w:r>
        <w:t xml:space="preserve">European Average Grid Emission Factor: 0.200 kgCO2e/kWh</w:t>
      </w:r>
    </w:p>
    <w:p>
      <w:pPr>
        <w:numPr>
          <w:ilvl w:val="0"/>
          <w:numId w:val="1016"/>
        </w:numPr>
        <w:pStyle w:val="Compact"/>
      </w:pPr>
      <w:r>
        <w:rPr>
          <w:bCs/>
          <w:b/>
        </w:rPr>
        <w:t xml:space="preserve">Calculation:</w:t>
      </w:r>
      <w:r>
        <w:t xml:space="preserve"> </w:t>
      </w:r>
      <w:r>
        <w:t xml:space="preserve">10 kWh/year * 5 years * 0.200 kgCO2e/kWh = 10.00 kgCO2e</w:t>
      </w:r>
    </w:p>
    <w:p>
      <w:pPr>
        <w:pStyle w:val="FirstParagraph"/>
      </w:pPr>
      <w:r>
        <w:rPr>
          <w:bCs/>
          <w:b/>
        </w:rPr>
        <w:t xml:space="preserve">Subtotal Scope 3, Category 11 Emissions: 10.00 kgCO2e</w:t>
      </w:r>
    </w:p>
    <w:bookmarkEnd w:id="42"/>
    <w:bookmarkStart w:id="43" w:name="X3d6457ab44d1abf1eb5e62f304dc59024c56bee"/>
    <w:p>
      <w:pPr>
        <w:pStyle w:val="Heading4"/>
      </w:pPr>
      <w:r>
        <w:t xml:space="preserve">3.3.5. Category 12: End-of-Life Treatment of Sold Products (EoL)</w:t>
      </w:r>
    </w:p>
    <w:p>
      <w:pPr>
        <w:pStyle w:val="FirstParagraph"/>
      </w:pPr>
      <w:r>
        <w:t xml:space="preserve">Emissions or credits associated with the disposal and recycling of the product at the end of its life, influenced by circular programs.</w:t>
      </w:r>
    </w:p>
    <w:p>
      <w:pPr>
        <w:numPr>
          <w:ilvl w:val="0"/>
          <w:numId w:val="1017"/>
        </w:numPr>
        <w:pStyle w:val="Compact"/>
      </w:pPr>
      <w:r>
        <w:t xml:space="preserve">Total Product Mass for EoL: 1.6 kg</w:t>
      </w:r>
    </w:p>
    <w:p>
      <w:pPr>
        <w:numPr>
          <w:ilvl w:val="0"/>
          <w:numId w:val="1017"/>
        </w:numPr>
        <w:pStyle w:val="Compact"/>
      </w:pPr>
      <w:r>
        <w:rPr>
          <w:bCs/>
          <w:b/>
        </w:rPr>
        <w:t xml:space="preserve">Disposal Portion (20%):</w:t>
      </w:r>
    </w:p>
    <w:p>
      <w:pPr>
        <w:numPr>
          <w:ilvl w:val="1"/>
          <w:numId w:val="1018"/>
        </w:numPr>
        <w:pStyle w:val="Compact"/>
      </w:pPr>
      <w:r>
        <w:t xml:space="preserve">Mass Disposed: 1.6 kg * 0.20 = 0.32 kg</w:t>
      </w:r>
    </w:p>
    <w:p>
      <w:pPr>
        <w:numPr>
          <w:ilvl w:val="1"/>
          <w:numId w:val="1018"/>
        </w:numPr>
        <w:pStyle w:val="Compact"/>
      </w:pPr>
      <w:r>
        <w:t xml:space="preserve">Landfill Emission Factor: 0.1 kgCO2e/kg</w:t>
      </w:r>
    </w:p>
    <w:p>
      <w:pPr>
        <w:numPr>
          <w:ilvl w:val="1"/>
          <w:numId w:val="1018"/>
        </w:numPr>
        <w:pStyle w:val="Compact"/>
      </w:pPr>
      <w:r>
        <w:rPr>
          <w:bCs/>
          <w:b/>
        </w:rPr>
        <w:t xml:space="preserve">Calculation:</w:t>
      </w:r>
      <w:r>
        <w:t xml:space="preserve"> </w:t>
      </w:r>
      <w:r>
        <w:t xml:space="preserve">0.32 kg * 0.1 kgCO2e/kg = 0.032 kgCO2e</w:t>
      </w:r>
    </w:p>
    <w:p>
      <w:pPr>
        <w:numPr>
          <w:ilvl w:val="0"/>
          <w:numId w:val="1017"/>
        </w:numPr>
        <w:pStyle w:val="Compact"/>
      </w:pPr>
      <w:r>
        <w:rPr>
          <w:bCs/>
          <w:b/>
        </w:rPr>
        <w:t xml:space="preserve">Recycled Portion (80%):</w:t>
      </w:r>
    </w:p>
    <w:p>
      <w:pPr>
        <w:numPr>
          <w:ilvl w:val="1"/>
          <w:numId w:val="1019"/>
        </w:numPr>
        <w:pStyle w:val="Compact"/>
      </w:pPr>
      <w:r>
        <w:t xml:space="preserve">Mass Recycled: 1.6 kg * 0.80 = 1.28 kg</w:t>
      </w:r>
    </w:p>
    <w:p>
      <w:pPr>
        <w:numPr>
          <w:ilvl w:val="1"/>
          <w:numId w:val="1019"/>
        </w:numPr>
        <w:pStyle w:val="Compact"/>
      </w:pPr>
      <w:r>
        <w:t xml:space="preserve">Recycling Credit: -0.5 kgCO2e/kg (average avoided emissions for virgin material production)</w:t>
      </w:r>
    </w:p>
    <w:p>
      <w:pPr>
        <w:numPr>
          <w:ilvl w:val="1"/>
          <w:numId w:val="1019"/>
        </w:numPr>
        <w:pStyle w:val="Compact"/>
      </w:pPr>
      <w:r>
        <w:rPr>
          <w:bCs/>
          <w:b/>
        </w:rPr>
        <w:t xml:space="preserve">Calculation:</w:t>
      </w:r>
      <w:r>
        <w:t xml:space="preserve"> </w:t>
      </w:r>
      <w:r>
        <w:t xml:space="preserve">1.28 kg * -0.5 kgCO2e/kg = -0.64 kgCO2e</w:t>
      </w:r>
    </w:p>
    <w:p>
      <w:pPr>
        <w:numPr>
          <w:ilvl w:val="0"/>
          <w:numId w:val="1017"/>
        </w:numPr>
        <w:pStyle w:val="Compact"/>
      </w:pPr>
      <w:r>
        <w:rPr>
          <w:bCs/>
          <w:b/>
        </w:rPr>
        <w:t xml:space="preserve">Net EoL Emissions:</w:t>
      </w:r>
      <w:r>
        <w:t xml:space="preserve"> </w:t>
      </w:r>
      <w:r>
        <w:t xml:space="preserve">0.032 kgCO2e + (-0.64 kgCO2e) = -0.608 kgCO2e</w:t>
      </w:r>
    </w:p>
    <w:p>
      <w:pPr>
        <w:pStyle w:val="FirstParagraph"/>
      </w:pPr>
      <w:r>
        <w:rPr>
          <w:bCs/>
          <w:b/>
        </w:rPr>
        <w:t xml:space="preserve">Subtotal Scope 3, Category 12 Emissions: -0.608 kgCO2e</w:t>
      </w:r>
    </w:p>
    <w:bookmarkEnd w:id="43"/>
    <w:bookmarkEnd w:id="44"/>
    <w:bookmarkStart w:id="45" w:name="summary-of-emissions-by-scope"/>
    <w:p>
      <w:pPr>
        <w:pStyle w:val="Heading3"/>
      </w:pPr>
      <w:r>
        <w:t xml:space="preserve">3.4.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process emissions (negligible for this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w:t>
            </w:r>
          </w:p>
        </w:tc>
        <w:tc>
          <w:tcPr/>
          <w:p>
            <w:pPr>
              <w:pStyle w:val="Compact"/>
              <w:jc w:val="left"/>
            </w:pPr>
            <w:r>
              <w:t xml:space="preserve">1.05</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19.05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0.08</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0.64</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-0.61</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30.14 kgCO2e</w:t>
            </w:r>
          </w:p>
        </w:tc>
      </w:tr>
    </w:tbl>
    <w:bookmarkEnd w:id="45"/>
    <w:bookmarkEnd w:id="46"/>
    <w:p>
      <w:r>
        <w:pict>
          <v:rect style="width:0;height:1.5pt" o:hralign="center" o:hrstd="t" o:hr="t"/>
        </w:pict>
      </w:r>
    </w:p>
    <w:bookmarkStart w:id="49" w:name="review-report"/>
    <w:p>
      <w:pPr>
        <w:pStyle w:val="Heading2"/>
      </w:pPr>
      <w:r>
        <w:t xml:space="preserve">4. Review &amp; Report</w:t>
      </w:r>
    </w:p>
    <w:bookmarkStart w:id="47" w:name="key-emission-hotspots"/>
    <w:p>
      <w:pPr>
        <w:pStyle w:val="Heading3"/>
      </w:pPr>
      <w:r>
        <w:t xml:space="preserve">4.1. Key Emission Hotspots</w:t>
      </w:r>
    </w:p>
    <w:p>
      <w:pPr>
        <w:pStyle w:val="FirstParagraph"/>
      </w:pPr>
      <w:r>
        <w:t xml:space="preserve">The analysis reveals the following primary emission hotspots for \'emdjnpqstf\':</w:t>
      </w:r>
    </w:p>
    <w:p>
      <w:pPr>
        <w:numPr>
          <w:ilvl w:val="0"/>
          <w:numId w:val="1020"/>
        </w:numPr>
        <w:pStyle w:val="Compact"/>
      </w:pPr>
      <w:r>
        <w:rPr>
          <w:bCs/>
          <w:b/>
        </w:rPr>
        <w:t xml:space="preserve">Materials (Scope 3, Category 1):</w:t>
      </w:r>
      <w:r>
        <w:t xml:space="preserve"> </w:t>
      </w:r>
      <w:r>
        <w:t xml:space="preserve">Constituting the largest share at approximately 63.2% of the total PCF (19.05 kgCO2e), the raw materials and components represent the most significant impact. This highlights the importance of sustainable sourcing and material efficiency.</w:t>
      </w:r>
    </w:p>
    <w:p>
      <w:pPr>
        <w:numPr>
          <w:ilvl w:val="0"/>
          <w:numId w:val="1020"/>
        </w:numPr>
        <w:pStyle w:val="Compact"/>
      </w:pPr>
      <w:r>
        <w:rPr>
          <w:bCs/>
          <w:b/>
        </w:rPr>
        <w:t xml:space="preserve">Use Phase (Scope 3, Category 11):</w:t>
      </w:r>
      <w:r>
        <w:t xml:space="preserve"> </w:t>
      </w:r>
      <w:r>
        <w:t xml:space="preserve">The energy consumed during the product\'s 5-year lifespan contributes significantly, accounting for about 33.2% (10.00 kgCO2e) of the total footprint. This underscores the need for energy-efficient product design and consumer awareness regarding energy sourcing.</w:t>
      </w:r>
    </w:p>
    <w:p>
      <w:pPr>
        <w:numPr>
          <w:ilvl w:val="0"/>
          <w:numId w:val="1020"/>
        </w:numPr>
        <w:pStyle w:val="Compact"/>
      </w:pPr>
      <w:r>
        <w:rPr>
          <w:bCs/>
          <w:b/>
        </w:rPr>
        <w:t xml:space="preserve">Manufacturing Energy (Scope 2):</w:t>
      </w:r>
      <w:r>
        <w:t xml:space="preserve"> </w:t>
      </w:r>
      <w:r>
        <w:t xml:space="preserve">While dlfjlinidk utilizes 70% renewable energy, the remaining non-renewable electricity still contributes 3.5% (1.05 kgCO2e) to the PCF. Further increasing renewable energy integration or improving energy efficiency in production processes can reduce this.</w:t>
      </w:r>
    </w:p>
    <w:p>
      <w:pPr>
        <w:numPr>
          <w:ilvl w:val="0"/>
          <w:numId w:val="1020"/>
        </w:numPr>
        <w:pStyle w:val="Compact"/>
      </w:pPr>
      <w:r>
        <w:rPr>
          <w:bCs/>
          <w:b/>
        </w:rPr>
        <w:t xml:space="preserve">End-of-Life (Scope 3, Category 12):</w:t>
      </w:r>
      <w:r>
        <w:t xml:space="preserve"> </w:t>
      </w:r>
      <w:r>
        <w:t xml:space="preserve">Due to a high recyclability percentage (80%) and the presence of circular/take-back programs, the end-of-life phase results in a net credit (-0.61 kgCO2e), demonstrating the positive impact of circular economy initiatives.</w:t>
      </w:r>
    </w:p>
    <w:bookmarkEnd w:id="47"/>
    <w:bookmarkStart w:id="48" w:name="reliability-and-limitations"/>
    <w:p>
      <w:pPr>
        <w:pStyle w:val="Heading3"/>
      </w:pPr>
      <w:r>
        <w:t xml:space="preserve">4.2. Reliability and Limitations</w:t>
      </w:r>
    </w:p>
    <w:p>
      <w:pPr>
        <w:pStyle w:val="FirstParagraph"/>
      </w:pPr>
      <w:r>
        <w:t xml:space="preserve">This report is based on a combination of primary data (e.g., provided BOM details, energy usage) and secondary data (e.g., industry-average emission factors). The reliability is generally high for the stages where specific data was provided. However, certain assumptions were made due to the generic nature of some parameters:</w:t>
      </w:r>
    </w:p>
    <w:p>
      <w:pPr>
        <w:numPr>
          <w:ilvl w:val="0"/>
          <w:numId w:val="1021"/>
        </w:numPr>
        <w:pStyle w:val="Compact"/>
      </w:pPr>
      <w:r>
        <w:rPr>
          <w:bCs/>
          <w:b/>
        </w:rPr>
        <w:t xml:space="preserve">Emission Factors:</w:t>
      </w:r>
      <w:r>
        <w:t xml:space="preserve"> </w:t>
      </w:r>
      <w:r>
        <w:t xml:space="preserve">Industry-average emission factors (e.g., for electricity grids, transportation modes, waste treatment) from recognized databases (such as IEA, GLEC, EPA) were used, which might not perfectly reflect specific supplier or regional conditions but provide a robust estimate.</w:t>
      </w:r>
    </w:p>
    <w:p>
      <w:pPr>
        <w:numPr>
          <w:ilvl w:val="0"/>
          <w:numId w:val="1021"/>
        </w:numPr>
        <w:pStyle w:val="Compact"/>
      </w:pPr>
      <w:r>
        <w:rPr>
          <w:bCs/>
          <w:b/>
        </w:rPr>
        <w:t xml:space="preserve">Transport Mode/Distance:</w:t>
      </w:r>
      <w:r>
        <w:t xml:space="preserve"> </w:t>
      </w:r>
      <w:r>
        <w:t xml:space="preserve">The interpretation of \'Select Mode\' and \'wphmtjdzyu\' as average long-haul ocean freight for upstream and road freight for downstream represents a reasonable approximation given the geographic scope.</w:t>
      </w:r>
    </w:p>
    <w:p>
      <w:pPr>
        <w:numPr>
          <w:ilvl w:val="0"/>
          <w:numId w:val="1021"/>
        </w:numPr>
        <w:pStyle w:val="Compact"/>
      </w:pPr>
      <w:r>
        <w:rPr>
          <w:bCs/>
          <w:b/>
        </w:rPr>
        <w:t xml:space="preserve">Scope 3 Coverage:</w:t>
      </w:r>
      <w:r>
        <w:t xml:space="preserve"> </w:t>
      </w:r>
      <w:r>
        <w:t xml:space="preserve">Efforts were made to ensure comprehensive Scope 3 coverage, particularly for key product-related categories (materials, transport, use, EoL), aligning with the proposed 95% coverage requirement for 2026. Further primary data collection from specific suppliers could enhance accuracy.</w:t>
      </w:r>
    </w:p>
    <w:p>
      <w:pPr>
        <w:numPr>
          <w:ilvl w:val="0"/>
          <w:numId w:val="1021"/>
        </w:numPr>
        <w:pStyle w:val="Compact"/>
      </w:pPr>
      <w:r>
        <w:rPr>
          <w:bCs/>
          <w:b/>
        </w:rPr>
        <w:t xml:space="preserve">LSR Standard:</w:t>
      </w:r>
      <w:r>
        <w:t xml:space="preserve"> </w:t>
      </w:r>
      <w:r>
        <w:t xml:space="preserve">While the LSR Standard is acknowledged, its full implementation for all potential land-related impacts would require more granular data on the specific origins of bio-based materials and direct land-use changes, which were not available at this level of product analysis.</w:t>
      </w:r>
    </w:p>
    <w:p>
      <w:pPr>
        <w:pStyle w:val="FirstParagraph"/>
      </w:pPr>
      <w:r>
        <w:t xml:space="preserve">This analysis provides a strong foundation for dlfjlinidk to identify areas for emission reduction and to track progress against its sustainability goals.</w:t>
      </w:r>
    </w:p>
    <w:bookmarkEnd w:id="48"/>
    <w:bookmarkEnd w:id="49"/>
    <w:p>
      <w:r>
        <w:pict>
          <v:rect style="width:0;height:1.5pt" o:hralign="center" o:hrstd="t" o:hr="t"/>
        </w:pict>
      </w:r>
    </w:p>
    <w:p>
      <w:pPr>
        <w:pStyle w:val="FirstParagraph"/>
      </w:pPr>
      <w:r>
        <w:t xml:space="preserve">Confidential - Internal Use Only | Page</w:t>
      </w:r>
      <w:r>
        <w:t xml:space="preserve">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emdjnpqstf</dc:title>
  <dc:creator/>
  <dc:description>Detailed Product Carbon Footprint (PCF) analysis for emdjnpqstf, performed by Senior Sustainability Consultant nsfftqtlgh for dlfjlinidk, adhering to GHG Protocol standards including 2026 LSR and Scope 3 compliance.</dc:description>
  <dc:language>en</dc:language>
  <cp:keywords/>
  <dcterms:created xsi:type="dcterms:W3CDTF">2026-07-15T02:54:54Z</dcterms:created>
  <dcterms:modified xsi:type="dcterms:W3CDTF">2026-07-15T02:54:54Z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