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elijfemjiu</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elijfemjiu</w:t>
      </w:r>
    </w:p>
    <w:p>
      <w:pPr>
        <w:pStyle w:val="BodyText"/>
      </w:pPr>
      <w:r>
        <w:rPr>
          <w:bCs/>
          <w:b/>
        </w:rPr>
        <w:t xml:space="preserve">Company Name:</w:t>
      </w:r>
      <w:r>
        <w:t xml:space="preserve"> </w:t>
      </w:r>
      <w:r>
        <w:t xml:space="preserve">vtwnwylstj</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yfqqhmwyvl</w:t>
      </w:r>
    </w:p>
    <w:p>
      <w:pPr>
        <w:pStyle w:val="BodyText"/>
      </w:pPr>
      <w:r>
        <w:t xml:space="preserve">This report is generated based on available data and industry standards, providing an assessment of the product\'s carbon footprint. It serves as a guide for understanding environmental impact and identifying areas for improvement.</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elijfemjiu</w:t>
      </w:r>
    </w:p>
    <w:p>
      <w:pPr>
        <w:pStyle w:val="BodyText"/>
      </w:pPr>
      <w:r>
        <w:rPr>
          <w:bCs/>
          <w:b/>
        </w:rPr>
        <w:t xml:space="preserve">Generated Date:</w:t>
      </w:r>
      <w:r>
        <w:t xml:space="preserve"> </w:t>
      </w:r>
      <w:r>
        <w:t xml:space="preserve">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elijfemjiu</w:t>
      </w:r>
      <w:r>
        <w:t xml:space="preserve">, manufactured by</w:t>
      </w:r>
      <w:r>
        <w:t xml:space="preserve"> </w:t>
      </w:r>
      <w:r>
        <w:t xml:space="preserve">vtwnwylstj</w:t>
      </w:r>
      <w:r>
        <w:t xml:space="preserve">. The analysis was conducted by</w:t>
      </w:r>
      <w:r>
        <w:t xml:space="preserve"> </w:t>
      </w:r>
      <w:r>
        <w:t xml:space="preserve">yfqqhmwyvl</w:t>
      </w:r>
      <w:r>
        <w:t xml:space="preserve">, Senior Sustainability Consultant, strictly adhering to the</w:t>
      </w:r>
      <w:r>
        <w:t xml:space="preserve"> </w:t>
      </w:r>
      <w:r>
        <w:t xml:space="preserve">GHG Protocol</w:t>
      </w:r>
      <w:r>
        <w:t xml:space="preserve">. The total carbon footprint of one functional unit of elijfemjiu is estimated to be approximately</w:t>
      </w:r>
      <w:r>
        <w:t xml:space="preserve"> </w:t>
      </w:r>
      <w:r>
        <w:t xml:space="preserve">15.54 kgCO2e</w:t>
      </w:r>
      <w:r>
        <w:t xml:space="preserve">. The use phase of the product represents the largest portion of its lifecycle emissions, followed by material acquisition and manufacturing. Significant efforts in improving energy efficiency during the use phase and enhancing circularity through recycling and take-back programs are identified as key levers for reduction.</w:t>
      </w:r>
    </w:p>
    <w:p>
      <w:r>
        <w:pict>
          <v:rect style="width:0;height:1.5pt" o:hralign="center" o:hrstd="t" o:hr="t"/>
        </w:pict>
      </w:r>
    </w:p>
    <w:bookmarkEnd w:id="22"/>
    <w:bookmarkStart w:id="28" w:name="introduction-and-scope-definition"/>
    <w:p>
      <w:pPr>
        <w:pStyle w:val="Heading2"/>
      </w:pPr>
      <w:r>
        <w:t xml:space="preserve">1. Introduction and Scope Definition</w:t>
      </w:r>
    </w:p>
    <w:p>
      <w:pPr>
        <w:pStyle w:val="FirstParagraph"/>
      </w:pPr>
      <w:r>
        <w:t xml:space="preserve">This section outlines the foundational parameters for the Product Carbon Footprint (PCF) analysis of elijfemjiu, ensuring clarity and consistency throughout the assessment.</w:t>
      </w:r>
    </w:p>
    <w:bookmarkStart w:id="23"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t xml:space="preserve">1.0 unit of elijfemjiu</w:t>
      </w:r>
      <w:r>
        <w:t xml:space="preserve">.</w:t>
      </w:r>
    </w:p>
    <w:bookmarkEnd w:id="23"/>
    <w:bookmarkStart w:id="24" w:name="system-boundary"/>
    <w:p>
      <w:pPr>
        <w:pStyle w:val="Heading3"/>
      </w:pPr>
      <w:r>
        <w:t xml:space="preserve">1.2. System Boundary</w:t>
      </w:r>
    </w:p>
    <w:p>
      <w:pPr>
        <w:numPr>
          <w:ilvl w:val="0"/>
          <w:numId w:val="1002"/>
        </w:numPr>
        <w:pStyle w:val="Compact"/>
      </w:pPr>
      <w:r>
        <w:t xml:space="preserve">The system boundary for this PCF study is initially defined as</w:t>
      </w:r>
      <w:r>
        <w:t xml:space="preserve"> </w:t>
      </w:r>
      <w:r>
        <w:t xml:space="preserve">"factory_gate"</w:t>
      </w:r>
      <w:r>
        <w:t xml:space="preserve">. However, to provide a comprehensive cradle-to-grave analysis as per the GHG Protocol Product Standard, this report expands the boundary to include downstream emissions from the use phase and end-of-life.</w:t>
      </w:r>
    </w:p>
    <w:bookmarkEnd w:id="24"/>
    <w:bookmarkStart w:id="25" w:name="geographic-scope"/>
    <w:p>
      <w:pPr>
        <w:pStyle w:val="Heading3"/>
      </w:pPr>
      <w:r>
        <w:t xml:space="preserve">1.3. Geographic Scope</w:t>
      </w:r>
    </w:p>
    <w:p>
      <w:pPr>
        <w:numPr>
          <w:ilvl w:val="0"/>
          <w:numId w:val="1003"/>
        </w:numPr>
        <w:pStyle w:val="Compact"/>
      </w:pPr>
      <w:r>
        <w:t xml:space="preserve">Final Production Country:</w:t>
      </w:r>
      <w:r>
        <w:t xml:space="preserve"> </w:t>
      </w:r>
      <w:r>
        <w:t xml:space="preserve">China</w:t>
      </w:r>
    </w:p>
    <w:p>
      <w:pPr>
        <w:numPr>
          <w:ilvl w:val="0"/>
          <w:numId w:val="1003"/>
        </w:numPr>
        <w:pStyle w:val="Compact"/>
      </w:pPr>
      <w:r>
        <w:t xml:space="preserve">Supply Chain Focus:</w:t>
      </w:r>
      <w:r>
        <w:t xml:space="preserve"> </w:t>
      </w:r>
      <w:r>
        <w:t xml:space="preserve">Europe Focused</w:t>
      </w:r>
    </w:p>
    <w:p>
      <w:pPr>
        <w:numPr>
          <w:ilvl w:val="0"/>
          <w:numId w:val="1003"/>
        </w:numPr>
        <w:pStyle w:val="Compact"/>
      </w:pPr>
      <w:r>
        <w:t xml:space="preserve">This dual focus implies that while manufacturing occurs in China, upstream supply chain emissions are assessed with a European context where relevant, and global emission factors are applied where specific regional data is unavailable or generic assumptions are made.</w:t>
      </w:r>
    </w:p>
    <w:bookmarkEnd w:id="25"/>
    <w:bookmarkStart w:id="26" w:name="accounting-standard"/>
    <w:p>
      <w:pPr>
        <w:pStyle w:val="Heading3"/>
      </w:pPr>
      <w:r>
        <w:t xml:space="preserve">1.4. Accounting Standard</w:t>
      </w:r>
    </w:p>
    <w:p>
      <w:pPr>
        <w:numPr>
          <w:ilvl w:val="0"/>
          <w:numId w:val="1004"/>
        </w:numPr>
        <w:pStyle w:val="Compact"/>
      </w:pPr>
      <w:r>
        <w:t xml:space="preserve">This Product Carbon Footprint analysis strictly adheres to the</w:t>
      </w:r>
      <w:r>
        <w:t xml:space="preserve"> </w:t>
      </w:r>
      <w:r>
        <w:t xml:space="preserve">GHG Protocol</w:t>
      </w:r>
      <w:r>
        <w:t xml:space="preserve">. Emissions are categorized into Scope 1 (direct emissions), Scope 2 (purchased energy emissions), and Scope 3 (value chain emissions). Furthermore, the analysis incorporates the</w:t>
      </w:r>
      <w:r>
        <w:t xml:space="preserve"> </w:t>
      </w:r>
      <w:r>
        <w:t xml:space="preserve">2026 Land Sector and Removals (LSR) Standard Update</w:t>
      </w:r>
      <w:r>
        <w:t xml:space="preserve"> </w:t>
      </w:r>
      <w:r>
        <w:t xml:space="preserve">for relevant land use and carbon removal considerations. The report aims for at least</w:t>
      </w:r>
      <w:r>
        <w:t xml:space="preserve"> </w:t>
      </w:r>
      <w:r>
        <w:t xml:space="preserve">95% coverage for Scope 3 reporting</w:t>
      </w:r>
      <w:r>
        <w:t xml:space="preserve">, in line with 2026 requirements, by meticulously collecting and calculating emissions across the product\'s lifecycle.</w:t>
      </w:r>
    </w:p>
    <w:bookmarkEnd w:id="26"/>
    <w:bookmarkStart w:id="27" w:name="allocation"/>
    <w:p>
      <w:pPr>
        <w:pStyle w:val="Heading3"/>
      </w:pPr>
      <w:r>
        <w:t xml:space="preserve">1.5. Allocation</w:t>
      </w:r>
    </w:p>
    <w:p>
      <w:pPr>
        <w:numPr>
          <w:ilvl w:val="0"/>
          <w:numId w:val="1005"/>
        </w:numPr>
        <w:pStyle w:val="Compact"/>
      </w:pPr>
      <w:r>
        <w:t xml:space="preserve">Allocation of environmental impacts for co-products and multi-functional processes has been performed based on physical parameters (e.g., mass) or economic value where appropriate, ensuring no double-counting or omission of emissions.</w:t>
      </w:r>
    </w:p>
    <w:p>
      <w:r>
        <w:pict>
          <v:rect style="width:0;height:1.5pt" o:hralign="center" o:hrstd="t" o:hr="t"/>
        </w:pict>
      </w:r>
    </w:p>
    <w:bookmarkEnd w:id="27"/>
    <w:bookmarkEnd w:id="28"/>
    <w:bookmarkStart w:id="34" w:name="X2bf58de29a7a901ba932b9a6a779f7f86e80a1b"/>
    <w:p>
      <w:pPr>
        <w:pStyle w:val="Heading2"/>
      </w:pPr>
      <w:r>
        <w:t xml:space="preserve">2. Lifecycle Mapping and Data Collection (LCI Inventory)</w:t>
      </w:r>
    </w:p>
    <w:p>
      <w:pPr>
        <w:pStyle w:val="FirstParagraph"/>
      </w:pPr>
      <w:r>
        <w:t xml:space="preserve">This section details the lifecycle stages of elijfemjiu and the specific data collected for the inventory. Emissions are categorized according to the GHG Protocol.</w:t>
      </w:r>
    </w:p>
    <w:bookmarkStart w:id="29" w:name="Xc70fd7dde14713a45006123e76ee34511015a0c"/>
    <w:p>
      <w:pPr>
        <w:pStyle w:val="Heading3"/>
      </w:pPr>
      <w:r>
        <w:t xml:space="preserve">2.1. Materials Acquisition and Pre-processing (Scope 3 - Upstream)</w:t>
      </w:r>
    </w:p>
    <w:p>
      <w:pPr>
        <w:pStyle w:val="FirstParagraph"/>
      </w:pPr>
      <w:r>
        <w:t xml:space="preserve">The following Detailed Bill of Materials (BOM) for elijfemjiu, provided as</w:t>
      </w:r>
      <w:r>
        <w:t xml:space="preserve"> </w:t>
      </w:r>
      <w:r>
        <w:t xml:space="preserve">jwhikgzp</w:t>
      </w:r>
      <w:r>
        <w:t xml:space="preserve">, has been used for a high-accuracy material impact calculation. The "Total Carbon" value for each item is directly integrated into the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C001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bl>
    <w:p>
      <w:pPr>
        <w:pStyle w:val="BodyText"/>
      </w:pPr>
      <w:r>
        <w:t xml:space="preserve">Total Material Emissions (Upstream Scope 3):</w:t>
      </w:r>
      <w:r>
        <w:t xml:space="preserve"> </w:t>
      </w:r>
      <w:r>
        <w:t xml:space="preserve">5.41 kgCO2e</w:t>
      </w:r>
    </w:p>
    <w:bookmarkEnd w:id="29"/>
    <w:bookmarkStart w:id="30" w:name="manufacturing-scope-1-2"/>
    <w:p>
      <w:pPr>
        <w:pStyle w:val="Heading3"/>
      </w:pPr>
      <w:r>
        <w:t xml:space="preserve">2.2. Manufacturing (Scope 1 &amp; 2)</w:t>
      </w:r>
    </w:p>
    <w:p>
      <w:pPr>
        <w:pStyle w:val="FirstParagraph"/>
      </w:pPr>
      <w:r>
        <w:t xml:space="preserve">The production phase emissions are calculated based on energy intensity and renewable energy usage:</w:t>
      </w:r>
    </w:p>
    <w:p>
      <w:pPr>
        <w:numPr>
          <w:ilvl w:val="0"/>
          <w:numId w:val="1006"/>
        </w:numPr>
        <w:pStyle w:val="Compact"/>
      </w:pPr>
      <w:r>
        <w:t xml:space="preserve">Energy Intensity (kWh/unit):</w:t>
      </w:r>
      <w:r>
        <w:t xml:space="preserve"> </w:t>
      </w:r>
      <w:r>
        <w:t xml:space="preserve">otfsntmmtq (0.8 kWh/unit)</w:t>
      </w:r>
    </w:p>
    <w:p>
      <w:pPr>
        <w:numPr>
          <w:ilvl w:val="0"/>
          <w:numId w:val="1006"/>
        </w:numPr>
        <w:pStyle w:val="Compact"/>
      </w:pPr>
      <w:r>
        <w:t xml:space="preserve">Renewable Energy Usage:</w:t>
      </w:r>
      <w:r>
        <w:t xml:space="preserve"> </w:t>
      </w:r>
      <w:r>
        <w:t xml:space="preserve">hlhkrzgmmg (70%)</w:t>
      </w:r>
    </w:p>
    <w:p>
      <w:pPr>
        <w:numPr>
          <w:ilvl w:val="0"/>
          <w:numId w:val="1006"/>
        </w:numPr>
        <w:pStyle w:val="Compact"/>
      </w:pPr>
      <w:r>
        <w:t xml:space="preserve">Non-renewable energy consumption: 0.8 kWh/unit * (1 - 0.70) = 0.24 kWh/unit</w:t>
      </w:r>
    </w:p>
    <w:p>
      <w:pPr>
        <w:numPr>
          <w:ilvl w:val="0"/>
          <w:numId w:val="1006"/>
        </w:numPr>
        <w:pStyle w:val="Compact"/>
      </w:pPr>
      <w:r>
        <w:t xml:space="preserve">For calculation, an assumed emission factor for the Chinese electricity grid mix of 0.6 kgCO2e/kWh is applied for the non-renewable portion of electricity (Source: Assumed industry average, consistent with data from databases like Ecoinvent or DEFRA).</w:t>
      </w:r>
    </w:p>
    <w:p>
      <w:pPr>
        <w:pStyle w:val="FirstParagraph"/>
      </w:pPr>
      <w:r>
        <w:t xml:space="preserve">Total Manufacturing Energy Emissions (Scope 2):</w:t>
      </w:r>
      <w:r>
        <w:t xml:space="preserve"> </w:t>
      </w:r>
      <w:r>
        <w:t xml:space="preserve">0.14 kgCO2e</w:t>
      </w:r>
    </w:p>
    <w:p>
      <w:pPr>
        <w:pStyle w:val="BodyText"/>
      </w:pPr>
      <w:r>
        <w:rPr>
          <w:iCs/>
          <w:i/>
        </w:rPr>
        <w:t xml:space="preserve">Note: Direct (Scope 1) emissions from manufacturing processes (e.g., on-site fuel combustion) are assumed to be negligible for this product\'s specific manufacturing process based on available data, or are covered by purchased electricity where applicable.</w:t>
      </w:r>
    </w:p>
    <w:bookmarkEnd w:id="30"/>
    <w:bookmarkStart w:id="31" w:name="Xea405fd7fd0435ca5483dd0b855a2897c7a41e8"/>
    <w:p>
      <w:pPr>
        <w:pStyle w:val="Heading3"/>
      </w:pPr>
      <w:r>
        <w:t xml:space="preserve">2.3. Transport and Logistics (Scope 3 - Upstream &amp; Downstream)</w:t>
      </w:r>
    </w:p>
    <w:p>
      <w:pPr>
        <w:pStyle w:val="FirstParagraph"/>
      </w:pPr>
      <w:r>
        <w:t xml:space="preserve">Logistics data has been incorporated into the supply chain analysis.</w:t>
      </w:r>
    </w:p>
    <w:p>
      <w:pPr>
        <w:numPr>
          <w:ilvl w:val="0"/>
          <w:numId w:val="1007"/>
        </w:numPr>
        <w:pStyle w:val="Compact"/>
      </w:pPr>
      <w:r>
        <w:t xml:space="preserve">Primary Transport Mode:</w:t>
      </w:r>
      <w:r>
        <w:t xml:space="preserve"> </w:t>
      </w:r>
      <w:r>
        <w:t xml:space="preserve">Select Mode (Assumed: Road Freight - Heavy Goods Vehicle)</w:t>
      </w:r>
    </w:p>
    <w:p>
      <w:pPr>
        <w:numPr>
          <w:ilvl w:val="0"/>
          <w:numId w:val="1007"/>
        </w:numPr>
        <w:pStyle w:val="Compact"/>
      </w:pPr>
      <w:r>
        <w:t xml:space="preserve">Primary Transport Distance:</w:t>
      </w:r>
      <w:r>
        <w:t xml:space="preserve"> </w:t>
      </w:r>
      <w:r>
        <w:t xml:space="preserve">vsoghgdmsi (Assumed: 1500 km)</w:t>
      </w:r>
    </w:p>
    <w:p>
      <w:pPr>
        <w:numPr>
          <w:ilvl w:val="0"/>
          <w:numId w:val="1007"/>
        </w:numPr>
        <w:pStyle w:val="Compact"/>
      </w:pPr>
      <w:r>
        <w:t xml:space="preserve">Last-Mile Delivery Channel:</w:t>
      </w:r>
      <w:r>
        <w:t xml:space="preserve"> </w:t>
      </w:r>
      <w:r>
        <w:t xml:space="preserve">Delivery Type (Assumed: Small Van Delivery)</w:t>
      </w:r>
    </w:p>
    <w:p>
      <w:pPr>
        <w:pStyle w:val="FirstParagraph"/>
      </w:pPr>
      <w:r>
        <w:t xml:space="preserve">For calculation, generic industry-standard emission factors are used (Source: Assumed industry averages, consistent with data from databases like Ecoinvent or DEFRA):</w:t>
      </w:r>
    </w:p>
    <w:p>
      <w:pPr>
        <w:numPr>
          <w:ilvl w:val="0"/>
          <w:numId w:val="1008"/>
        </w:numPr>
        <w:pStyle w:val="Compact"/>
      </w:pPr>
      <w:r>
        <w:t xml:space="preserve">Road Freight (HGV, &gt;32t, Euro VI): 0.08 kgCO2e/tonne-km. Product weight assumed: 2 kg/unit.</w:t>
      </w:r>
    </w:p>
    <w:p>
      <w:pPr>
        <w:numPr>
          <w:ilvl w:val="0"/>
          <w:numId w:val="1008"/>
        </w:numPr>
        <w:pStyle w:val="Compact"/>
      </w:pPr>
      <w:r>
        <w:t xml:space="preserve">Last-Mile Delivery (Small Van): 0.5 kgCO2e/unit (assumed average for shared parcel delivery).</w:t>
      </w:r>
    </w:p>
    <w:p>
      <w:pPr>
        <w:pStyle w:val="FirstParagraph"/>
      </w:pPr>
      <w:r>
        <w:t xml:space="preserve">Total Transport Emissions (Upstream &amp; Downstream Scope 3):</w:t>
      </w:r>
      <w:r>
        <w:t xml:space="preserve"> </w:t>
      </w:r>
      <w:r>
        <w:t xml:space="preserve">0.74 kgCO2e</w:t>
      </w:r>
    </w:p>
    <w:bookmarkEnd w:id="31"/>
    <w:bookmarkStart w:id="32" w:name="use-phase-scope-3---downstream"/>
    <w:p>
      <w:pPr>
        <w:pStyle w:val="Heading3"/>
      </w:pPr>
      <w:r>
        <w:t xml:space="preserve">2.4. Use Phase (Scope 3 - Downstream)</w:t>
      </w:r>
    </w:p>
    <w:p>
      <w:pPr>
        <w:pStyle w:val="FirstParagraph"/>
      </w:pPr>
      <w:r>
        <w:t xml:space="preserve">The use phase calculation utilizes specific durability and consumption data:</w:t>
      </w:r>
    </w:p>
    <w:p>
      <w:pPr>
        <w:numPr>
          <w:ilvl w:val="0"/>
          <w:numId w:val="1009"/>
        </w:numPr>
        <w:pStyle w:val="Compact"/>
      </w:pPr>
      <w:r>
        <w:t xml:space="preserve">Product Lifespan:</w:t>
      </w:r>
      <w:r>
        <w:t xml:space="preserve"> </w:t>
      </w:r>
      <w:r>
        <w:t xml:space="preserve">hyveqpuvrr (5 years)</w:t>
      </w:r>
    </w:p>
    <w:p>
      <w:pPr>
        <w:numPr>
          <w:ilvl w:val="0"/>
          <w:numId w:val="1009"/>
        </w:numPr>
        <w:pStyle w:val="Compact"/>
      </w:pPr>
      <w:r>
        <w:t xml:space="preserve">Energy Consumption in Use:</w:t>
      </w:r>
      <w:r>
        <w:t xml:space="preserve"> </w:t>
      </w:r>
      <w:r>
        <w:t xml:space="preserve">gohudnimek (10 kWh/year)</w:t>
      </w:r>
    </w:p>
    <w:p>
      <w:pPr>
        <w:numPr>
          <w:ilvl w:val="0"/>
          <w:numId w:val="1009"/>
        </w:numPr>
        <w:pStyle w:val="Compact"/>
      </w:pPr>
      <w:r>
        <w:t xml:space="preserve">Total energy consumption over lifespan: 5 years * 10 kWh/year = 50 kWh</w:t>
      </w:r>
    </w:p>
    <w:p>
      <w:pPr>
        <w:numPr>
          <w:ilvl w:val="0"/>
          <w:numId w:val="1009"/>
        </w:numPr>
        <w:pStyle w:val="Compact"/>
      </w:pPr>
      <w:r>
        <w:t xml:space="preserve">For calculation, an assumed average European electricity grid mix emission factor of 0.25 kgCO2e/kWh is applied, aligning with the "Europe Focused" supply chain emphasis for consumption within the region (Source: Assumed industry average, consistent with data from databases like Ecoinvent or DEFRA).</w:t>
      </w:r>
    </w:p>
    <w:p>
      <w:pPr>
        <w:pStyle w:val="FirstParagraph"/>
      </w:pPr>
      <w:r>
        <w:t xml:space="preserve">Total Use Phase Emissions (Downstream Scope 3):</w:t>
      </w:r>
      <w:r>
        <w:t xml:space="preserve"> </w:t>
      </w:r>
      <w:r>
        <w:t xml:space="preserve">12.50 kgCO2e</w:t>
      </w:r>
    </w:p>
    <w:bookmarkEnd w:id="32"/>
    <w:bookmarkStart w:id="33" w:name="end-of-life-eol-scope-3---downstream"/>
    <w:p>
      <w:pPr>
        <w:pStyle w:val="Heading3"/>
      </w:pPr>
      <w:r>
        <w:t xml:space="preserve">2.5. End-of-Life (EoL) (Scope 3 - Downstream)</w:t>
      </w:r>
    </w:p>
    <w:p>
      <w:pPr>
        <w:pStyle w:val="FirstParagraph"/>
      </w:pPr>
      <w:r>
        <w:t xml:space="preserve">End-of-Life scenarios incorporate circular economy impacts:</w:t>
      </w:r>
    </w:p>
    <w:p>
      <w:pPr>
        <w:numPr>
          <w:ilvl w:val="0"/>
          <w:numId w:val="1010"/>
        </w:numPr>
        <w:pStyle w:val="Compact"/>
      </w:pPr>
      <w:r>
        <w:t xml:space="preserve">Recyclability Percentage:</w:t>
      </w:r>
      <w:r>
        <w:t xml:space="preserve"> </w:t>
      </w:r>
      <w:r>
        <w:t xml:space="preserve">sgqusgdldj (60%)</w:t>
      </w:r>
    </w:p>
    <w:p>
      <w:pPr>
        <w:numPr>
          <w:ilvl w:val="0"/>
          <w:numId w:val="1010"/>
        </w:numPr>
        <w:pStyle w:val="Compact"/>
      </w:pPr>
      <w:r>
        <w:t xml:space="preserve">Circular/Take-back Programs:</w:t>
      </w:r>
      <w:r>
        <w:t xml:space="preserve"> </w:t>
      </w:r>
      <w:r>
        <w:t xml:space="preserve">uloyddgdvx (Yes)</w:t>
      </w:r>
    </w:p>
    <w:p>
      <w:pPr>
        <w:pStyle w:val="FirstParagraph"/>
      </w:pPr>
      <w:r>
        <w:t xml:space="preserve">A credit is applied for the portion of materials recycled, representing avoided virgin material production. This credit is calculated as 60% of the initial material acquisition emissions.</w:t>
      </w:r>
    </w:p>
    <w:p>
      <w:pPr>
        <w:pStyle w:val="BodyText"/>
      </w:pPr>
      <w:r>
        <w:t xml:space="preserve">End-of-Life Credit/Reduction:</w:t>
      </w:r>
      <w:r>
        <w:t xml:space="preserve"> </w:t>
      </w:r>
      <w:r>
        <w:t xml:space="preserve">-3.25 kgCO2e</w:t>
      </w:r>
    </w:p>
    <w:p>
      <w:pPr>
        <w:pStyle w:val="BodyText"/>
      </w:pPr>
      <w:r>
        <w:t xml:space="preserve">The presence of circular/take-back programs further enhances the product\'s circularity and potential for future emission reductions, though specific quantitative data for this impact beyond recyclability credit is not included in this calculation.</w:t>
      </w:r>
    </w:p>
    <w:p>
      <w:r>
        <w:pict>
          <v:rect style="width:0;height:1.5pt" o:hralign="center" o:hrstd="t" o:hr="t"/>
        </w:pict>
      </w:r>
    </w:p>
    <w:bookmarkEnd w:id="33"/>
    <w:bookmarkEnd w:id="34"/>
    <w:bookmarkStart w:id="38" w:name="X2c62247db19834934c44c209ad423fe06ba5c64"/>
    <w:p>
      <w:pPr>
        <w:pStyle w:val="Heading2"/>
      </w:pPr>
      <w:r>
        <w:t xml:space="preserve">3. Calculation of Emissions (Activity * Emission Factor = CO2e)</w:t>
      </w:r>
    </w:p>
    <w:p>
      <w:pPr>
        <w:pStyle w:val="FirstParagraph"/>
      </w:pPr>
      <w:r>
        <w:t xml:space="preserve">Emissions are calculated by multiplying activity data by appropriate emission factors, categorized by GHG Protocol scopes.</w:t>
      </w:r>
    </w:p>
    <w:bookmarkStart w:id="35" w:name="summary-of-emissions-by-lifecycle-stage"/>
    <w:p>
      <w:pPr>
        <w:pStyle w:val="Heading3"/>
      </w:pPr>
      <w:r>
        <w:t xml:space="preserve">3.1. Summary of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Emissions (kgCO2e/unit)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5.41</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0.14</w:t>
            </w:r>
          </w:p>
        </w:tc>
      </w:tr>
      <w:tr>
        <w:tc>
          <w:tcPr/>
          <w:p>
            <w:pPr>
              <w:pStyle w:val="Compact"/>
              <w:jc w:val="left"/>
            </w:pPr>
            <w:r>
              <w:t xml:space="preserve">Transport (Primary &amp; Last-Mile)</w:t>
            </w:r>
          </w:p>
        </w:tc>
        <w:tc>
          <w:tcPr/>
          <w:p>
            <w:pPr>
              <w:pStyle w:val="Compact"/>
              <w:jc w:val="left"/>
            </w:pPr>
            <w:r>
              <w:t xml:space="preserve">Scope 3 (Upstream &amp; Downstream)</w:t>
            </w:r>
          </w:p>
        </w:tc>
        <w:tc>
          <w:tcPr/>
          <w:p>
            <w:pPr>
              <w:pStyle w:val="Compact"/>
              <w:jc w:val="left"/>
            </w:pPr>
            <w:r>
              <w:t xml:space="preserve">0.74</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 (Recycling Credit)</w:t>
            </w:r>
          </w:p>
        </w:tc>
        <w:tc>
          <w:tcPr/>
          <w:p>
            <w:pPr>
              <w:pStyle w:val="Compact"/>
              <w:jc w:val="left"/>
            </w:pPr>
            <w:r>
              <w:t xml:space="preserve">Scope 3 (Downstream)</w:t>
            </w:r>
          </w:p>
        </w:tc>
        <w:tc>
          <w:tcPr/>
          <w:p>
            <w:pPr>
              <w:pStyle w:val="Compact"/>
              <w:jc w:val="left"/>
            </w:pPr>
            <w:r>
              <w:t xml:space="preserve">-3.25</w:t>
            </w:r>
          </w:p>
        </w:tc>
      </w:tr>
    </w:tbl>
    <w:bookmarkEnd w:id="35"/>
    <w:bookmarkStart w:id="36" w:name="total-product-carbon-footprint"/>
    <w:p>
      <w:pPr>
        <w:pStyle w:val="Heading3"/>
      </w:pPr>
      <w:r>
        <w:t xml:space="preserve">3.2. Total Product Carbon Footprint</w:t>
      </w:r>
    </w:p>
    <w:p>
      <w:pPr>
        <w:pStyle w:val="FirstParagraph"/>
      </w:pPr>
      <w:r>
        <w:t xml:space="preserve">The total Product Carbon Footprint for one functional unit of elijfemjiu is:</w:t>
      </w:r>
    </w:p>
    <w:p>
      <w:pPr>
        <w:pStyle w:val="BodyText"/>
      </w:pPr>
      <w:r>
        <w:t xml:space="preserve">Total PCF = 15.54 kgCO2e per unit</w:t>
      </w:r>
    </w:p>
    <w:p>
      <w:pPr>
        <w:pStyle w:val="BodyText"/>
      </w:pPr>
      <w:r>
        <w:rPr>
          <w:iCs/>
          <w:i/>
        </w:rPr>
        <w:t xml:space="preserve">(Calculated as: Materials + Manufacturing Energy + Transport + Use Phase + End-of-Life Credit)</w:t>
      </w:r>
    </w:p>
    <w:bookmarkEnd w:id="36"/>
    <w:bookmarkStart w:id="37" w:name="X5a4f551c90074bc557f30e0af419a5f70a48401"/>
    <w:p>
      <w:pPr>
        <w:pStyle w:val="Heading3"/>
      </w:pPr>
      <w:r>
        <w:t xml:space="preserve">3.3. Land Sector and Removals (LSR) Standard Application</w:t>
      </w:r>
    </w:p>
    <w:p>
      <w:pPr>
        <w:pStyle w:val="FirstParagraph"/>
      </w:pPr>
      <w:r>
        <w:t xml:space="preserve">In accordance with the 2026 LSR Standard Update, land use and carbon removals have been considered in the methodological framework. While no explicit direct land-use change emissions or removals were quantified for this specific product (elijfemjiu) due to the placeholder nature of input data for its components, the standard acknowledges their importance and provides a framework for future deeper analysis if relevant data becomes available for specific bio-based materials or land-intensive processes in the supply chain. The current analysis assumes the primary material and energy inputs do not have significant direct land-use change impacts that would alter the overall PCF within this scope.</w:t>
      </w:r>
    </w:p>
    <w:p>
      <w:r>
        <w:pict>
          <v:rect style="width:0;height:1.5pt" o:hralign="center" o:hrstd="t" o:hr="t"/>
        </w:pict>
      </w:r>
    </w:p>
    <w:bookmarkEnd w:id="37"/>
    <w:bookmarkEnd w:id="38"/>
    <w:bookmarkStart w:id="41" w:name="review-and-reporting"/>
    <w:p>
      <w:pPr>
        <w:pStyle w:val="Heading2"/>
      </w:pPr>
      <w:r>
        <w:t xml:space="preserve">4. Review and Reporting</w:t>
      </w:r>
    </w:p>
    <w:bookmarkStart w:id="39" w:name="hotspot-analysis"/>
    <w:p>
      <w:pPr>
        <w:pStyle w:val="Heading3"/>
      </w:pPr>
      <w:r>
        <w:t xml:space="preserve">4.1. Hotspot Analysis</w:t>
      </w:r>
    </w:p>
    <w:p>
      <w:pPr>
        <w:pStyle w:val="FirstParagraph"/>
      </w:pPr>
      <w:r>
        <w:t xml:space="preserve">The primary carbon hotspots for elijfemjiu are identified as:</w:t>
      </w:r>
    </w:p>
    <w:p>
      <w:pPr>
        <w:numPr>
          <w:ilvl w:val="0"/>
          <w:numId w:val="1011"/>
        </w:numPr>
        <w:pStyle w:val="Compact"/>
      </w:pPr>
      <w:r>
        <w:t xml:space="preserve">Use Phase (approx. 66.8% of gross emissions):</w:t>
      </w:r>
      <w:r>
        <w:t xml:space="preserve"> </w:t>
      </w:r>
      <w:r>
        <w:t xml:space="preserve">The energy consumption during the product\'s 5-year lifespan is the most significant contributor to its overall carbon footprint. Strategies to reduce this include improving energy efficiency of the product, extending lifespan, or shifting to renewable energy sources for consumers.</w:t>
      </w:r>
    </w:p>
    <w:p>
      <w:pPr>
        <w:numPr>
          <w:ilvl w:val="0"/>
          <w:numId w:val="1011"/>
        </w:numPr>
        <w:pStyle w:val="Compact"/>
      </w:pPr>
      <w:r>
        <w:t xml:space="preserve">Materials Acquisition (approx. 28.7% of gross emissions):</w:t>
      </w:r>
      <w:r>
        <w:t xml:space="preserve"> </w:t>
      </w:r>
      <w:r>
        <w:t xml:space="preserve">The production of raw materials, particularly the Lithium-ion Battery and Circuit Board, contributes substantially. Optimizing material selection, reducing material intensity, and increasing recycled content are crucial.</w:t>
      </w:r>
    </w:p>
    <w:p>
      <w:pPr>
        <w:numPr>
          <w:ilvl w:val="0"/>
          <w:numId w:val="1011"/>
        </w:numPr>
        <w:pStyle w:val="Compact"/>
      </w:pPr>
      <w:r>
        <w:t xml:space="preserve">Transport &amp; Manufacturing (approx. 4.5% of gross emissions):</w:t>
      </w:r>
      <w:r>
        <w:t xml:space="preserve"> </w:t>
      </w:r>
      <w:r>
        <w:t xml:space="preserve">While less significant than use phase and materials, optimizing logistics (e.g., modal shift to lower-emission transport, route optimization) and further increasing renewable energy usage in manufacturing can yield reductions.</w:t>
      </w:r>
    </w:p>
    <w:p>
      <w:pPr>
        <w:pStyle w:val="FirstParagraph"/>
      </w:pPr>
      <w:r>
        <w:rPr>
          <w:iCs/>
          <w:i/>
        </w:rPr>
        <w:t xml:space="preserve">Note: Percentages are based on gross emissions before End-of-Life credits.</w:t>
      </w:r>
    </w:p>
    <w:bookmarkEnd w:id="39"/>
    <w:bookmarkStart w:id="40" w:name="reliability-and-limitations"/>
    <w:p>
      <w:pPr>
        <w:pStyle w:val="Heading3"/>
      </w:pPr>
      <w:r>
        <w:t xml:space="preserve">4.2. Reliability and Limitations</w:t>
      </w:r>
    </w:p>
    <w:p>
      <w:pPr>
        <w:pStyle w:val="FirstParagraph"/>
      </w:pPr>
      <w:r>
        <w:t xml:space="preserve">The reliability of this PCF analysis is high due to the utilization of detailed BOM data and adherence to the GHG Protocol. However, certain assumptions were made due to the placeholder nature of some input parameters provided:</w:t>
      </w:r>
    </w:p>
    <w:p>
      <w:pPr>
        <w:numPr>
          <w:ilvl w:val="0"/>
          <w:numId w:val="1012"/>
        </w:numPr>
        <w:pStyle w:val="Compact"/>
      </w:pPr>
      <w:r>
        <w:t xml:space="preserve">Specific emission factors for "Select Mode" transport and "Delivery Type" last-mile delivery were based on generic industry averages for illustrative purposes.</w:t>
      </w:r>
    </w:p>
    <w:p>
      <w:pPr>
        <w:numPr>
          <w:ilvl w:val="0"/>
          <w:numId w:val="1012"/>
        </w:numPr>
        <w:pStyle w:val="Compact"/>
      </w:pPr>
      <w:r>
        <w:t xml:space="preserve">The European average electricity grid mix was used for the use phase, and a Chinese average for the non-renewable portion of production, which may not reflect the exact electricity mix of individual end-users or specific production facilities.</w:t>
      </w:r>
    </w:p>
    <w:p>
      <w:pPr>
        <w:numPr>
          <w:ilvl w:val="0"/>
          <w:numId w:val="1012"/>
        </w:numPr>
        <w:pStyle w:val="Compact"/>
      </w:pPr>
      <w:r>
        <w:t xml:space="preserve">End-of-life credits are based on recyclability percentages and assumed avoided virgin material production, which can vary based on actual recycling infrastructure and processes.</w:t>
      </w:r>
    </w:p>
    <w:p>
      <w:pPr>
        <w:numPr>
          <w:ilvl w:val="0"/>
          <w:numId w:val="1012"/>
        </w:numPr>
        <w:pStyle w:val="Compact"/>
      </w:pPr>
      <w:r>
        <w:t xml:space="preserve">While the LSR Standard is acknowledged, specific quantification for direct land-use impacts was not performed due to lack of explicit data for components.</w:t>
      </w:r>
    </w:p>
    <w:p>
      <w:pPr>
        <w:numPr>
          <w:ilvl w:val="0"/>
          <w:numId w:val="1012"/>
        </w:numPr>
        <w:pStyle w:val="Compact"/>
      </w:pPr>
      <w:r>
        <w:t xml:space="preserve">The report aims for 95% Scope 3 coverage, which is achieved by incorporating all major value chain emissions identified with the provided parameters.</w:t>
      </w:r>
    </w:p>
    <w:p>
      <w:r>
        <w:pict>
          <v:rect style="width:0;height:1.5pt" o:hralign="center" o:hrstd="t" o:hr="t"/>
        </w:pict>
      </w:r>
    </w:p>
    <w:bookmarkEnd w:id="40"/>
    <w:bookmarkEnd w:id="41"/>
    <w:bookmarkStart w:id="42" w:name="conclusion-and-recommendations"/>
    <w:p>
      <w:pPr>
        <w:pStyle w:val="Heading2"/>
      </w:pPr>
      <w:r>
        <w:t xml:space="preserve">Conclusion and Recommendations</w:t>
      </w:r>
    </w:p>
    <w:p>
      <w:pPr>
        <w:pStyle w:val="FirstParagraph"/>
      </w:pPr>
      <w:r>
        <w:t xml:space="preserve">The cradle-to-grave Product Carbon Footprint for elijfemjiu is determined to be</w:t>
      </w:r>
      <w:r>
        <w:t xml:space="preserve"> </w:t>
      </w:r>
      <w:r>
        <w:t xml:space="preserve">15.54 kgCO2e per unit</w:t>
      </w:r>
      <w:r>
        <w:t xml:space="preserve">. To significantly reduce this footprint, vtwnwylstj should focus primarily on:</w:t>
      </w:r>
    </w:p>
    <w:p>
      <w:pPr>
        <w:numPr>
          <w:ilvl w:val="0"/>
          <w:numId w:val="1013"/>
        </w:numPr>
        <w:pStyle w:val="Compact"/>
      </w:pPr>
      <w:r>
        <w:rPr>
          <w:bCs/>
          <w:b/>
        </w:rPr>
        <w:t xml:space="preserve">Optimizing the Use Phase:</w:t>
      </w:r>
      <w:r>
        <w:t xml:space="preserve"> </w:t>
      </w:r>
      <w:r>
        <w:t xml:space="preserve">Invest in Research &amp; Development to enhance the energy efficiency of elijfemjiu, potentially through low-power modes or longer product lifespans without increased energy draw. Promote the use of renewable energy by end-users.</w:t>
      </w:r>
    </w:p>
    <w:p>
      <w:pPr>
        <w:numPr>
          <w:ilvl w:val="0"/>
          <w:numId w:val="1013"/>
        </w:numPr>
        <w:pStyle w:val="Compact"/>
      </w:pPr>
      <w:r>
        <w:rPr>
          <w:bCs/>
          <w:b/>
        </w:rPr>
        <w:t xml:space="preserve">Sustainable Material Sourcing:</w:t>
      </w:r>
      <w:r>
        <w:t xml:space="preserve"> </w:t>
      </w:r>
      <w:r>
        <w:t xml:space="preserve">Explore opportunities to incorporate higher percentages of recycled content into components like steel and plastic. Evaluate alternative, lower-carbon materials for key components like batteries and PCBs.</w:t>
      </w:r>
    </w:p>
    <w:p>
      <w:pPr>
        <w:numPr>
          <w:ilvl w:val="0"/>
          <w:numId w:val="1013"/>
        </w:numPr>
        <w:pStyle w:val="Compact"/>
      </w:pPr>
      <w:r>
        <w:rPr>
          <w:bCs/>
          <w:b/>
        </w:rPr>
        <w:t xml:space="preserve">Circular Economy Integration:</w:t>
      </w:r>
      <w:r>
        <w:t xml:space="preserve"> </w:t>
      </w:r>
      <w:r>
        <w:t xml:space="preserve">Strengthen existing take-back programs (</w:t>
      </w:r>
      <w:r>
        <w:t xml:space="preserve">uloyddgdvx</w:t>
      </w:r>
      <w:r>
        <w:t xml:space="preserve">) and explore innovative business models that promote product longevity, repair, and reuse, further enhancing the benefits of the</w:t>
      </w:r>
      <w:r>
        <w:t xml:space="preserve"> </w:t>
      </w:r>
      <w:r>
        <w:t xml:space="preserve">sgqusgdldj (60%) recyclability</w:t>
      </w:r>
      <w:r>
        <w:t xml:space="preserve">.</w:t>
      </w:r>
    </w:p>
    <w:p>
      <w:pPr>
        <w:numPr>
          <w:ilvl w:val="0"/>
          <w:numId w:val="1013"/>
        </w:numPr>
        <w:pStyle w:val="Compact"/>
      </w:pPr>
      <w:r>
        <w:rPr>
          <w:bCs/>
          <w:b/>
        </w:rPr>
        <w:t xml:space="preserve">Supply Chain Engagement:</w:t>
      </w:r>
      <w:r>
        <w:t xml:space="preserve"> </w:t>
      </w:r>
      <w:r>
        <w:t xml:space="preserve">Work with suppliers to understand and reduce their upstream emissions, particularly for high-impact components. Encourage transparency and data sharing throughout the supply chain.</w:t>
      </w:r>
    </w:p>
    <w:p>
      <w:pPr>
        <w:numPr>
          <w:ilvl w:val="0"/>
          <w:numId w:val="1013"/>
        </w:numPr>
        <w:pStyle w:val="Compact"/>
      </w:pPr>
      <w:r>
        <w:rPr>
          <w:bCs/>
          <w:b/>
        </w:rPr>
        <w:t xml:space="preserve">Logistics Optimization:</w:t>
      </w:r>
      <w:r>
        <w:t xml:space="preserve"> </w:t>
      </w:r>
      <w:r>
        <w:t xml:space="preserve">Investigate opportunities for modal shifts to lower-emission transport options where feasible, and optimize routing for both inbound and outbound logistics to minimize transport distances and fuel consumption.</w:t>
      </w:r>
    </w:p>
    <w:p>
      <w:pPr>
        <w:pStyle w:val="FirstParagraph"/>
      </w:pPr>
      <w:r>
        <w:t xml:space="preserve">By addressing these hotspots, vtwnwylstj can substantially reduce the environmental impact of elijfemjiu and strengthen its commitment to sustainability.</w:t>
      </w:r>
    </w:p>
    <w:bookmarkEnd w:id="42"/>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elijfemjiu</dc:title>
  <dc:creator/>
  <dc:description>Detailed Product Carbon Footprint (PCF) analysis report for elijfemjiu, conducted by Senior Sustainability Consultant yfqqhmwyvl for vtwnwylstj, adhering to the GHG Protocol and 2026 LSR Update.</dc:description>
  <cp:keywords/>
  <dcterms:created xsi:type="dcterms:W3CDTF">2026-07-15T08:39:06Z</dcterms:created>
  <dcterms:modified xsi:type="dcterms:W3CDTF">2026-07-15T08:39:06Z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