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elhorjfvri</w:t>
      </w:r>
    </w:p>
    <w:p>
      <w:pPr>
        <w:pStyle w:val="FirstParagraph"/>
      </w:pPr>
      <w:r>
        <w:rPr>
          <w:bCs/>
          <w:b/>
        </w:rPr>
        <w:t xml:space="preserve">carboncalcpcf.com</w:t>
      </w:r>
    </w:p>
    <w:bookmarkStart w:id="20" w:name="product-carbon-footprint-analysis"/>
    <w:p>
      <w:pPr>
        <w:pStyle w:val="Heading1"/>
      </w:pPr>
      <w:r>
        <w:t xml:space="preserve">Product Carbon Footprint Analysis</w:t>
      </w:r>
    </w:p>
    <w:p>
      <w:pPr>
        <w:pStyle w:val="FirstParagraph"/>
      </w:pPr>
      <w:r>
        <w:t xml:space="preserve">For: elhorjfvri</w:t>
      </w:r>
    </w:p>
    <w:p>
      <w:pPr>
        <w:pStyle w:val="BodyText"/>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ivnjzimrvi</w:t>
      </w:r>
    </w:p>
    <w:p>
      <w:pPr>
        <w:pStyle w:val="BodyText"/>
      </w:pPr>
      <w:r>
        <w:rPr>
          <w:bCs/>
          <w:b/>
        </w:rPr>
        <w:t xml:space="preserve">Senior Sustainability Consultant:</w:t>
      </w:r>
      <w:r>
        <w:t xml:space="preserve"> </w:t>
      </w:r>
      <w:r>
        <w:t xml:space="preserve">jvgqjwjhst</w:t>
      </w:r>
    </w:p>
    <w:p>
      <w:pPr>
        <w:pStyle w:val="BodyText"/>
      </w:pPr>
      <w:r>
        <w:rPr>
          <w:iCs/>
          <w:i/>
        </w:rPr>
        <w:t xml:space="preserve">Disclaimer: This report is generated based on available data and industry standards, utilizing provided parameters and generally accepted emission factors. Specific results may vary with more granular, primary data.</w:t>
      </w:r>
    </w:p>
    <w:bookmarkEnd w:id="20"/>
    <w:p>
      <w:pPr>
        <w:pStyle w:val="BodyText"/>
      </w:pPr>
      <w:r>
        <w:t xml:space="preserve">Product Carbon Footprint Analysis for elhorjfvri | Generated Date: May 18, 2026</w:t>
      </w:r>
    </w:p>
    <w:bookmarkStart w:id="21" w:name="executive-summary"/>
    <w:p>
      <w:pPr>
        <w:pStyle w:val="Heading1"/>
      </w:pPr>
      <w:r>
        <w:t xml:space="preserve">Executive Summary</w:t>
      </w:r>
    </w:p>
    <w:p>
      <w:pPr>
        <w:pStyle w:val="FirstParagraph"/>
      </w:pPr>
      <w:r>
        <w:t xml:space="preserve">This report presents a high-detail Product Carbon Footprint (PCF) analysis for the product</w:t>
      </w:r>
      <w:r>
        <w:t xml:space="preserve"> </w:t>
      </w:r>
      <w:r>
        <w:rPr>
          <w:bCs/>
          <w:b/>
        </w:rPr>
        <w:t xml:space="preserve">elhorjfvri</w:t>
      </w:r>
      <w:r>
        <w:t xml:space="preserve">, manufactured by</w:t>
      </w:r>
      <w:r>
        <w:t xml:space="preserve"> </w:t>
      </w:r>
      <w:r>
        <w:rPr>
          <w:bCs/>
          <w:b/>
        </w:rPr>
        <w:t xml:space="preserve">ivnjzimrvi</w:t>
      </w:r>
      <w:r>
        <w:t xml:space="preserve">. The analysis was conducted by</w:t>
      </w:r>
      <w:r>
        <w:t xml:space="preserve"> </w:t>
      </w:r>
      <w:r>
        <w:rPr>
          <w:bCs/>
          <w:b/>
        </w:rPr>
        <w:t xml:space="preserve">jvgqjwjhst</w:t>
      </w:r>
      <w:r>
        <w:t xml:space="preserve">, a Senior Sustainability Consultant, following the Greenhouse Gas (GHG) Protocol standards, including considerations for the 2026 Land Sector and Removals (LSR) update and a minimum 95% Scope 3 coverage. The total Product Carbon Footprint for one functional unit of elhorjfvri is calculated to be</w:t>
      </w:r>
      <w:r>
        <w:t xml:space="preserve"> </w:t>
      </w:r>
      <w:r>
        <w:rPr>
          <w:bCs/>
          <w:b/>
        </w:rPr>
        <w:t xml:space="preserve">574.25 kg CO2e</w:t>
      </w:r>
      <w:r>
        <w:t xml:space="preserve">. The Use Phase dominates the overall footprint, highlighting significant opportunities for reduction in product energy consumption.</w:t>
      </w:r>
    </w:p>
    <w:p>
      <w:r>
        <w:pict>
          <v:rect style="width:0;height:1.5pt" o:hralign="center" o:hrstd="t" o:hr="t"/>
        </w:pict>
      </w:r>
    </w:p>
    <w:bookmarkEnd w:id="21"/>
    <w:bookmarkStart w:id="24" w:name="introduction-and-scope-definition"/>
    <w:p>
      <w:pPr>
        <w:pStyle w:val="Heading1"/>
      </w:pPr>
      <w:r>
        <w:t xml:space="preserve">1. Introduction and Scope Definition</w:t>
      </w:r>
    </w:p>
    <w:p>
      <w:pPr>
        <w:pStyle w:val="FirstParagraph"/>
      </w:pPr>
      <w:r>
        <w:t xml:space="preserve">This Product Carbon Footprint (PCF) analysis adheres strictly to the</w:t>
      </w:r>
      <w:r>
        <w:t xml:space="preserve"> </w:t>
      </w:r>
      <w:r>
        <w:rPr>
          <w:bCs/>
          <w:b/>
        </w:rPr>
        <w:t xml:space="preserve">GHG Protocol</w:t>
      </w:r>
      <w:r>
        <w:t xml:space="preserve">, the most widely used international accounting tool for quantifying greenhouse gas emissions. The analysis incorporates the latest industry practices, including the upcoming 2026 updates related to the Land Sector and Removals (LSR) Standard and enhanced Scope 3 reporting requirements.</w:t>
      </w:r>
    </w:p>
    <w:bookmarkStart w:id="22" w:name="product-and-company-information"/>
    <w:p>
      <w:pPr>
        <w:pStyle w:val="Heading2"/>
      </w:pPr>
      <w:r>
        <w:t xml:space="preserve">1.1. Product and Company Information</w:t>
      </w:r>
    </w:p>
    <w:p>
      <w:pPr>
        <w:numPr>
          <w:ilvl w:val="0"/>
          <w:numId w:val="1001"/>
        </w:numPr>
        <w:pStyle w:val="Compact"/>
      </w:pPr>
      <w:r>
        <w:rPr>
          <w:bCs/>
          <w:b/>
        </w:rPr>
        <w:t xml:space="preserve">Company Name:</w:t>
      </w:r>
      <w:r>
        <w:t xml:space="preserve"> </w:t>
      </w:r>
      <w:r>
        <w:t xml:space="preserve">ivnjzimrvi</w:t>
      </w:r>
    </w:p>
    <w:p>
      <w:pPr>
        <w:numPr>
          <w:ilvl w:val="0"/>
          <w:numId w:val="1001"/>
        </w:numPr>
        <w:pStyle w:val="Compact"/>
      </w:pPr>
      <w:r>
        <w:rPr>
          <w:bCs/>
          <w:b/>
        </w:rPr>
        <w:t xml:space="preserve">Product Name:</w:t>
      </w:r>
      <w:r>
        <w:t xml:space="preserve"> </w:t>
      </w:r>
      <w:r>
        <w:t xml:space="preserve">elhorjfvri</w:t>
      </w:r>
    </w:p>
    <w:p>
      <w:pPr>
        <w:numPr>
          <w:ilvl w:val="0"/>
          <w:numId w:val="1001"/>
        </w:numPr>
        <w:pStyle w:val="Compact"/>
      </w:pPr>
      <w:r>
        <w:rPr>
          <w:bCs/>
          <w:b/>
        </w:rPr>
        <w:t xml:space="preserve">Senior Sustainability Consultant:</w:t>
      </w:r>
      <w:r>
        <w:t xml:space="preserve"> </w:t>
      </w:r>
      <w:r>
        <w:t xml:space="preserve">jvgqjwjhst</w:t>
      </w:r>
    </w:p>
    <w:p>
      <w:pPr>
        <w:numPr>
          <w:ilvl w:val="0"/>
          <w:numId w:val="1001"/>
        </w:numPr>
        <w:pStyle w:val="Compact"/>
      </w:pPr>
      <w:r>
        <w:rPr>
          <w:bCs/>
          <w:b/>
        </w:rPr>
        <w:t xml:space="preserve">Functional Unit:</w:t>
      </w:r>
      <w:r>
        <w:t xml:space="preserve"> </w:t>
      </w:r>
      <w:r>
        <w:t xml:space="preserve">1.0 unit (The standard unit by which the product’s environmental impacts are measured).</w:t>
      </w:r>
    </w:p>
    <w:p>
      <w:pPr>
        <w:numPr>
          <w:ilvl w:val="0"/>
          <w:numId w:val="1001"/>
        </w:numPr>
        <w:pStyle w:val="Compact"/>
      </w:pPr>
      <w:r>
        <w:rPr>
          <w:bCs/>
          <w:b/>
        </w:rPr>
        <w:t xml:space="preserve">System Boundary:</w:t>
      </w:r>
      <w:r>
        <w:t xml:space="preserve"> </w:t>
      </w:r>
      <w:r>
        <w:t xml:space="preserve">factory_gate (Encompassing raw material acquisition, manufacturing, and transport to the factory gate. For this high-detail analysis, downstream stages like Use and End-of-Life are also included to provide a holistic view).</w:t>
      </w:r>
    </w:p>
    <w:p>
      <w:pPr>
        <w:numPr>
          <w:ilvl w:val="0"/>
          <w:numId w:val="1001"/>
        </w:numPr>
        <w:pStyle w:val="Compact"/>
      </w:pPr>
      <w:r>
        <w:rPr>
          <w:bCs/>
          <w:b/>
        </w:rPr>
        <w:t xml:space="preserve">Geographic Scope:</w:t>
      </w:r>
      <w:r>
        <w:t xml:space="preserve"> </w:t>
      </w:r>
      <w:r>
        <w:t xml:space="preserve">Final Production Country: China, Supply Chain Focus: Europe Focused.</w:t>
      </w:r>
    </w:p>
    <w:p>
      <w:pPr>
        <w:numPr>
          <w:ilvl w:val="0"/>
          <w:numId w:val="1001"/>
        </w:numPr>
        <w:pStyle w:val="Compact"/>
      </w:pPr>
      <w:r>
        <w:rPr>
          <w:bCs/>
          <w:b/>
        </w:rPr>
        <w:t xml:space="preserve">Accounting Standard:</w:t>
      </w:r>
      <w:r>
        <w:t xml:space="preserve"> </w:t>
      </w:r>
      <w:r>
        <w:t xml:space="preserve">GHG Protocol. Emissions are categorized into Scope 1 (direct), Scope 2 (purchased energy), and Scope 3 (value chain).</w:t>
      </w:r>
    </w:p>
    <w:bookmarkEnd w:id="22"/>
    <w:bookmarkStart w:id="23" w:name="methodology-outline"/>
    <w:p>
      <w:pPr>
        <w:pStyle w:val="Heading2"/>
      </w:pPr>
      <w:r>
        <w:t xml:space="preserve">1.2. Methodology Outline</w:t>
      </w:r>
    </w:p>
    <w:p>
      <w:pPr>
        <w:pStyle w:val="FirstParagraph"/>
      </w:pPr>
      <w:r>
        <w:t xml:space="preserve">The PCF analysis followed a five-step methodology as per GHG Protocol guidelines:</w:t>
      </w:r>
    </w:p>
    <w:p>
      <w:pPr>
        <w:numPr>
          <w:ilvl w:val="0"/>
          <w:numId w:val="1002"/>
        </w:numPr>
        <w:pStyle w:val="Compact"/>
      </w:pPr>
      <w:r>
        <w:rPr>
          <w:bCs/>
          <w:b/>
        </w:rPr>
        <w:t xml:space="preserve">Define Scope:</w:t>
      </w:r>
      <w:r>
        <w:t xml:space="preserve"> </w:t>
      </w:r>
      <w:r>
        <w:t xml:space="preserve">Established the functional unit, system boundaries, geographic scope, and allocation rules.</w:t>
      </w:r>
    </w:p>
    <w:p>
      <w:pPr>
        <w:numPr>
          <w:ilvl w:val="0"/>
          <w:numId w:val="1002"/>
        </w:numPr>
        <w:pStyle w:val="Compact"/>
      </w:pPr>
      <w:r>
        <w:rPr>
          <w:bCs/>
          <w:b/>
        </w:rPr>
        <w:t xml:space="preserve">Map Lifecycle:</w:t>
      </w:r>
      <w:r>
        <w:t xml:space="preserve"> </w:t>
      </w:r>
      <w:r>
        <w:t xml:space="preserve">Identified all relevant life cycle inventory stages, from raw material extraction to end-of-life.</w:t>
      </w:r>
    </w:p>
    <w:p>
      <w:pPr>
        <w:numPr>
          <w:ilvl w:val="0"/>
          <w:numId w:val="1002"/>
        </w:numPr>
        <w:pStyle w:val="Compact"/>
      </w:pPr>
      <w:r>
        <w:rPr>
          <w:bCs/>
          <w:b/>
        </w:rPr>
        <w:t xml:space="preserve">Collect Data:</w:t>
      </w:r>
      <w:r>
        <w:t xml:space="preserve"> </w:t>
      </w:r>
      <w:r>
        <w:t xml:space="preserve">Gathered primary data (e.g., Detailed Bill of Materials, energy consumption) and supplemented with secondary, industry-standard emission factors.</w:t>
      </w:r>
    </w:p>
    <w:p>
      <w:pPr>
        <w:numPr>
          <w:ilvl w:val="0"/>
          <w:numId w:val="1002"/>
        </w:numPr>
        <w:pStyle w:val="Compact"/>
      </w:pPr>
      <w:r>
        <w:rPr>
          <w:bCs/>
          <w:b/>
        </w:rPr>
        <w:t xml:space="preserve">Calculate Emissions:</w:t>
      </w:r>
      <w:r>
        <w:t xml:space="preserve"> </w:t>
      </w:r>
      <w:r>
        <w:t xml:space="preserve">Applied appropriate emission factors to activity data to quantify CO2e emissions for each life cycle stage.</w:t>
      </w:r>
    </w:p>
    <w:p>
      <w:pPr>
        <w:numPr>
          <w:ilvl w:val="0"/>
          <w:numId w:val="1002"/>
        </w:numPr>
        <w:pStyle w:val="Compact"/>
      </w:pPr>
      <w:r>
        <w:rPr>
          <w:bCs/>
          <w:b/>
        </w:rPr>
        <w:t xml:space="preserve">Review &amp; Report:</w:t>
      </w:r>
      <w:r>
        <w:t xml:space="preserve"> </w:t>
      </w:r>
      <w:r>
        <w:t xml:space="preserve">Analyzed results to identify emission hotspots, assessed data reliability, and presented findings.</w:t>
      </w:r>
    </w:p>
    <w:p>
      <w:pPr>
        <w:pStyle w:val="FirstParagraph"/>
      </w:pPr>
      <w:r>
        <w:rPr>
          <w:bCs/>
          <w:b/>
        </w:rPr>
        <w:t xml:space="preserve">GHG Protocol Adherence:</w:t>
      </w:r>
      <w:r>
        <w:t xml:space="preserve"> </w:t>
      </w:r>
      <w:r>
        <w:t xml:space="preserve">This report categorizes emissions strictly into Scope 1, Scope 2, and Scope 3. Special attention has been given to the</w:t>
      </w:r>
      <w:r>
        <w:t xml:space="preserve"> </w:t>
      </w:r>
      <w:r>
        <w:rPr>
          <w:bCs/>
          <w:b/>
        </w:rPr>
        <w:t xml:space="preserve">2026 LSR Update</w:t>
      </w:r>
      <w:r>
        <w:t xml:space="preserve"> </w:t>
      </w:r>
      <w:r>
        <w:t xml:space="preserve">for land use and carbon removals, although direct land-use change impacts were not explicitly detailed in the provided parameters for this specific product. The report ensures at least</w:t>
      </w:r>
      <w:r>
        <w:t xml:space="preserve"> </w:t>
      </w:r>
      <w:r>
        <w:rPr>
          <w:bCs/>
          <w:b/>
        </w:rPr>
        <w:t xml:space="preserve">95% coverage for Scope 3 reporting</w:t>
      </w:r>
      <w:r>
        <w:t xml:space="preserve">, aligning with 2026 requirements for comprehensive value chain transparency.</w:t>
      </w:r>
    </w:p>
    <w:p>
      <w:r>
        <w:pict>
          <v:rect style="width:0;height:1.5pt" o:hralign="center" o:hrstd="t" o:hr="t"/>
        </w:pict>
      </w:r>
    </w:p>
    <w:bookmarkEnd w:id="23"/>
    <w:bookmarkEnd w:id="24"/>
    <w:bookmarkStart w:id="27" w:name="X4a027e17fc9bd8583c31b1bb1e4de62a840007e"/>
    <w:p>
      <w:pPr>
        <w:pStyle w:val="Heading1"/>
      </w:pPr>
      <w:r>
        <w:t xml:space="preserve">2. Detailed Bill of Materials (BOM) and Energy Inputs (Steps 2 &amp; 3)</w:t>
      </w:r>
    </w:p>
    <w:p>
      <w:pPr>
        <w:pStyle w:val="FirstParagraph"/>
      </w:pPr>
      <w:r>
        <w:t xml:space="preserve">The Detailed Bill of Materials (BOM) for elhorjfvri was crucial for a high-accuracy material impact calculation, moving beyond default estimates. Each item’s quantity and associated carbon impact are directly used as provided in the parameter</w:t>
      </w:r>
      <w:r>
        <w:t xml:space="preserve"> </w:t>
      </w:r>
      <w:r>
        <w:rPr>
          <w:rStyle w:val="VerbatimChar"/>
        </w:rPr>
        <w:t xml:space="preserve">xkjnjkrf</w:t>
      </w:r>
      <w:r>
        <w:t xml:space="preserve">.</w:t>
      </w:r>
    </w:p>
    <w:bookmarkStart w:id="25" w:name="material-inputs-analysis"/>
    <w:p>
      <w:pPr>
        <w:pStyle w:val="Heading2"/>
      </w:pPr>
      <w:r>
        <w:t xml:space="preserve">2.1. Material Inputs Analysis</w:t>
      </w:r>
    </w:p>
    <w:p>
      <w:pPr>
        <w:pStyle w:val="FirstParagraph"/>
      </w:pPr>
      <w:r>
        <w:t xml:space="preserve">The BOM for elhorjfvri includes the following components, their quantities, and pre-calculated total carbon emissions: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7.5</w:t>
            </w:r>
          </w:p>
        </w:tc>
        <w:tc>
          <w:tcPr/>
          <w:p>
            <w:pPr>
              <w:pStyle w:val="Compact"/>
              <w:jc w:val="left"/>
            </w:pPr>
            <w:r>
              <w:t xml:space="preserve">3.75</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Polymer</w:t>
            </w:r>
          </w:p>
        </w:tc>
        <w:tc>
          <w:tcPr/>
          <w:p>
            <w:pPr>
              <w:pStyle w:val="Compact"/>
              <w:jc w:val="left"/>
            </w:pPr>
            <w:r>
              <w:t xml:space="preserve">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0.60</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2.0</w:t>
            </w:r>
          </w:p>
        </w:tc>
        <w:tc>
          <w:tcPr/>
          <w:p>
            <w:pPr>
              <w:pStyle w:val="Compact"/>
              <w:jc w:val="left"/>
            </w:pPr>
            <w:r>
              <w:t xml:space="preserve">2.00</w:t>
            </w:r>
          </w:p>
        </w:tc>
      </w:tr>
      <w:tr>
        <w:tc>
          <w:tcPr/>
          <w:p>
            <w:pPr>
              <w:pStyle w:val="Compact"/>
              <w:jc w:val="left"/>
            </w:pPr>
            <w:r>
              <w:t xml:space="preserve">4</w:t>
            </w:r>
          </w:p>
        </w:tc>
        <w:tc>
          <w:tcPr/>
          <w:p>
            <w:pPr>
              <w:pStyle w:val="Compact"/>
              <w:jc w:val="left"/>
            </w:pPr>
            <w:r>
              <w:t xml:space="preserve">Battery</w:t>
            </w:r>
          </w:p>
        </w:tc>
        <w:tc>
          <w:tcPr/>
          <w:p>
            <w:pPr>
              <w:pStyle w:val="Compact"/>
              <w:jc w:val="left"/>
            </w:pPr>
            <w:r>
              <w:t xml:space="preserve">Energy Storage</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5</w:t>
            </w:r>
          </w:p>
        </w:tc>
        <w:tc>
          <w:tcPr/>
          <w:p>
            <w:pPr>
              <w:pStyle w:val="Compact"/>
              <w:jc w:val="left"/>
            </w:pPr>
            <w:r>
              <w:t xml:space="preserve">Packaging</w:t>
            </w:r>
          </w:p>
        </w:tc>
        <w:tc>
          <w:tcPr/>
          <w:p>
            <w:pPr>
              <w:pStyle w:val="Compact"/>
              <w:jc w:val="left"/>
            </w:pPr>
            <w:r>
              <w:t xml:space="preserve">Paper/Cardboard</w:t>
            </w:r>
          </w:p>
        </w:tc>
        <w:tc>
          <w:tcPr/>
          <w:p>
            <w:pPr>
              <w:pStyle w:val="Compact"/>
              <w:jc w:val="left"/>
            </w:pPr>
            <w:r>
              <w:t xml:space="preserve">Production</w:t>
            </w:r>
          </w:p>
        </w:tc>
        <w:tc>
          <w:tcPr/>
          <w:p>
            <w:pPr>
              <w:pStyle w:val="Compact"/>
              <w:jc w:val="left"/>
            </w:pPr>
            <w:r>
              <w:t xml:space="preserve">0.3</w:t>
            </w:r>
          </w:p>
        </w:tc>
        <w:tc>
          <w:tcPr/>
          <w:p>
            <w:pPr>
              <w:pStyle w:val="Compact"/>
              <w:jc w:val="left"/>
            </w:pPr>
            <w:r>
              <w:t xml:space="preserve">kg</w:t>
            </w:r>
          </w:p>
        </w:tc>
        <w:tc>
          <w:tcPr/>
          <w:p>
            <w:pPr>
              <w:pStyle w:val="Compact"/>
              <w:jc w:val="left"/>
            </w:pPr>
            <w:r>
              <w:t xml:space="preserve">1.0</w:t>
            </w:r>
          </w:p>
        </w:tc>
        <w:tc>
          <w:tcPr/>
          <w:p>
            <w:pPr>
              <w:pStyle w:val="Compact"/>
              <w:jc w:val="left"/>
            </w:pPr>
            <w:r>
              <w:t xml:space="preserve">0.30</w:t>
            </w:r>
          </w:p>
        </w:tc>
      </w:tr>
    </w:tbl>
    <w:p>
      <w:pPr>
        <w:pStyle w:val="BodyText"/>
      </w:pPr>
      <w:r>
        <w:t xml:space="preserve">The sum of the \'Total Carbon\' from the BOM directly contributes to the upstream Scope 3 emissions. Total product weight (excluding the \'unit\' based Circuit Board for transport calculations) is 0.5 + 0.2 + 0.1 + 0.3 = 1.1 kg.</w:t>
      </w:r>
    </w:p>
    <w:bookmarkEnd w:id="25"/>
    <w:bookmarkStart w:id="26" w:name="energy-inputs-for-production"/>
    <w:p>
      <w:pPr>
        <w:pStyle w:val="Heading2"/>
      </w:pPr>
      <w:r>
        <w:t xml:space="preserve">2.2. Energy Inputs for Production</w:t>
      </w:r>
    </w:p>
    <w:p>
      <w:pPr>
        <w:pStyle w:val="FirstParagraph"/>
      </w:pPr>
      <w:r>
        <w:t xml:space="preserve">The production phase energy consumption is customized based on the provided parameters:</w:t>
      </w:r>
    </w:p>
    <w:p>
      <w:pPr>
        <w:numPr>
          <w:ilvl w:val="0"/>
          <w:numId w:val="1003"/>
        </w:numPr>
        <w:pStyle w:val="Compact"/>
      </w:pPr>
      <w:r>
        <w:rPr>
          <w:bCs/>
          <w:b/>
        </w:rPr>
        <w:t xml:space="preserve">Energy Intensity (kWh/unit):</w:t>
      </w:r>
      <w:r>
        <w:t xml:space="preserve"> </w:t>
      </w:r>
      <w:r>
        <w:t xml:space="preserve">10 kWh/unit</w:t>
      </w:r>
    </w:p>
    <w:p>
      <w:pPr>
        <w:numPr>
          <w:ilvl w:val="0"/>
          <w:numId w:val="1003"/>
        </w:numPr>
        <w:pStyle w:val="Compact"/>
      </w:pPr>
      <w:r>
        <w:rPr>
          <w:bCs/>
          <w:b/>
        </w:rPr>
        <w:t xml:space="preserve">Renewable Energy Usage:</w:t>
      </w:r>
      <w:r>
        <w:t xml:space="preserve"> </w:t>
      </w:r>
      <w:r>
        <w:t xml:space="preserve">50%</w:t>
      </w:r>
    </w:p>
    <w:p>
      <w:pPr>
        <w:pStyle w:val="FirstParagraph"/>
      </w:pPr>
      <w:r>
        <w:t xml:space="preserve">This implies that 5 kWh/unit is sourced from renewable energy and 5 kWh/unit from the conventional grid mix.</w:t>
      </w:r>
    </w:p>
    <w:p>
      <w:r>
        <w:pict>
          <v:rect style="width:0;height:1.5pt" o:hralign="center" o:hrstd="t" o:hr="t"/>
        </w:pict>
      </w:r>
    </w:p>
    <w:bookmarkEnd w:id="26"/>
    <w:bookmarkEnd w:id="27"/>
    <w:bookmarkStart w:id="33" w:name="emissions-calculation-step-4"/>
    <w:p>
      <w:pPr>
        <w:pStyle w:val="Heading1"/>
      </w:pPr>
      <w:r>
        <w:t xml:space="preserve">3. Emissions Calculation (Step 4)</w:t>
      </w:r>
    </w:p>
    <w:p>
      <w:pPr>
        <w:pStyle w:val="FirstParagraph"/>
      </w:pPr>
      <w:r>
        <w:t xml:space="preserve">Emissions were calculated by multiplying activity data (e.g., kg of material, kWh of energy, tkm of transport) by industry-standard emission factors.</w:t>
      </w:r>
    </w:p>
    <w:bookmarkStart w:id="28" w:name="X6a37f4768beb1a69ad819e05c52141d1c7de8b8"/>
    <w:p>
      <w:pPr>
        <w:pStyle w:val="Heading2"/>
      </w:pPr>
      <w:r>
        <w:t xml:space="preserve">3.1. Material Acquisition &amp; Processing (Scope 3 - Category 1: Purchased goods and services)</w:t>
      </w:r>
    </w:p>
    <w:p>
      <w:pPr>
        <w:pStyle w:val="FirstParagraph"/>
      </w:pPr>
      <w:r>
        <w:t xml:space="preserve">The carbon footprint from material acquisition and processing is directly taken from the provided \'Total Carbon\' values in the BOM.</w:t>
      </w:r>
    </w:p>
    <w:p>
      <w:pPr>
        <w:numPr>
          <w:ilvl w:val="0"/>
          <w:numId w:val="1004"/>
        </w:numPr>
        <w:pStyle w:val="Compact"/>
      </w:pPr>
      <w:r>
        <w:rPr>
          <w:bCs/>
          <w:b/>
        </w:rPr>
        <w:t xml:space="preserve">Total Material Emissions:</w:t>
      </w:r>
      <w:r>
        <w:t xml:space="preserve"> </w:t>
      </w:r>
      <w:r>
        <w:t xml:space="preserve">8.15 kg CO2e</w:t>
      </w:r>
    </w:p>
    <w:bookmarkEnd w:id="28"/>
    <w:bookmarkStart w:id="29" w:name="production-phase-emissions-scope-2"/>
    <w:p>
      <w:pPr>
        <w:pStyle w:val="Heading2"/>
      </w:pPr>
      <w:r>
        <w:t xml:space="preserve">3.2. Production Phase Emissions (Scope 2)</w:t>
      </w:r>
    </w:p>
    <w:p>
      <w:pPr>
        <w:pStyle w:val="FirstParagraph"/>
      </w:pPr>
      <w:r>
        <w:t xml:space="preserve">The production energy consumption and renewable energy usage directly influence the Scope 2 emissions.</w:t>
      </w:r>
    </w:p>
    <w:p>
      <w:pPr>
        <w:numPr>
          <w:ilvl w:val="0"/>
          <w:numId w:val="1005"/>
        </w:numPr>
        <w:pStyle w:val="Compact"/>
      </w:pPr>
      <w:r>
        <w:t xml:space="preserve">Non-renewable electricity consumption: 10 kWh/unit * (1 - 50%) = 5 kWh/unit</w:t>
      </w:r>
    </w:p>
    <w:p>
      <w:pPr>
        <w:numPr>
          <w:ilvl w:val="0"/>
          <w:numId w:val="1005"/>
        </w:numPr>
        <w:pStyle w:val="Compact"/>
      </w:pPr>
      <w:r>
        <w:t xml:space="preserve">Renewable electricity consumption: 10 kWh/unit * 50% = 5 kWh/unit</w:t>
      </w:r>
    </w:p>
    <w:p>
      <w:pPr>
        <w:numPr>
          <w:ilvl w:val="0"/>
          <w:numId w:val="1005"/>
        </w:numPr>
        <w:pStyle w:val="Compact"/>
      </w:pPr>
      <w:r>
        <w:t xml:space="preserve">Emission factor for China\'s average grid electricity mix: 0.6205 kg CO2e/kWh (for 2023)</w:t>
      </w:r>
    </w:p>
    <w:p>
      <w:pPr>
        <w:numPr>
          <w:ilvl w:val="0"/>
          <w:numId w:val="1005"/>
        </w:numPr>
        <w:pStyle w:val="Compact"/>
      </w:pPr>
      <w:r>
        <w:t xml:space="preserve">Illustrative lifecycle emission factor for renewable electricity (e.g., wind, solar, hydro - representing upstream emissions from infrastructure): 0.03 kg CO2e/kWh</w:t>
      </w:r>
    </w:p>
    <w:p>
      <w:pPr>
        <w:numPr>
          <w:ilvl w:val="0"/>
          <w:numId w:val="1005"/>
        </w:numPr>
        <w:pStyle w:val="Compact"/>
      </w:pPr>
      <w:r>
        <w:rPr>
          <w:bCs/>
          <w:b/>
        </w:rPr>
        <w:t xml:space="preserve">Emissions from non-renewable electricity:</w:t>
      </w:r>
      <w:r>
        <w:t xml:space="preserve"> </w:t>
      </w:r>
      <w:r>
        <w:t xml:space="preserve">5 kWh * 0.6205 kg CO2e/kWh = 3.10 kg CO2e</w:t>
      </w:r>
    </w:p>
    <w:p>
      <w:pPr>
        <w:numPr>
          <w:ilvl w:val="0"/>
          <w:numId w:val="1005"/>
        </w:numPr>
        <w:pStyle w:val="Compact"/>
      </w:pPr>
      <w:r>
        <w:rPr>
          <w:bCs/>
          <w:b/>
        </w:rPr>
        <w:t xml:space="preserve">Emissions from renewable electricity (lifecycle):</w:t>
      </w:r>
      <w:r>
        <w:t xml:space="preserve"> </w:t>
      </w:r>
      <w:r>
        <w:t xml:space="preserve">5 kWh * 0.03 kg CO2e/kWh = 0.15 kg CO2e</w:t>
      </w:r>
    </w:p>
    <w:p>
      <w:pPr>
        <w:numPr>
          <w:ilvl w:val="0"/>
          <w:numId w:val="1005"/>
        </w:numPr>
        <w:pStyle w:val="Compact"/>
      </w:pPr>
      <w:r>
        <w:rPr>
          <w:bCs/>
          <w:b/>
        </w:rPr>
        <w:t xml:space="preserve">Total Production Emissions (Scope 2):</w:t>
      </w:r>
      <w:r>
        <w:t xml:space="preserve"> </w:t>
      </w:r>
      <w:r>
        <w:t xml:space="preserve">3.10 + 0.15 = 3.25 kg CO2e</w:t>
      </w:r>
    </w:p>
    <w:bookmarkEnd w:id="29"/>
    <w:bookmarkStart w:id="30" w:name="Xe27edba9a667dcabc6edb9bdf298eb3c1c09398"/>
    <w:p>
      <w:pPr>
        <w:pStyle w:val="Heading2"/>
      </w:pPr>
      <w:r>
        <w:t xml:space="preserve">3.3. Transport &amp; Logistics Emissions (Scope 3 - Category 4 &amp; 9)</w:t>
      </w:r>
    </w:p>
    <w:p>
      <w:pPr>
        <w:pStyle w:val="FirstParagraph"/>
      </w:pPr>
      <w:r>
        <w:t xml:space="preserve">Logistics data was incorporated for supply chain analysis, assuming a product weight of 1.1 kg for transport calculations.</w:t>
      </w:r>
    </w:p>
    <w:p>
      <w:pPr>
        <w:numPr>
          <w:ilvl w:val="0"/>
          <w:numId w:val="1006"/>
        </w:numPr>
        <w:pStyle w:val="Compact"/>
      </w:pPr>
      <w:r>
        <w:rPr>
          <w:bCs/>
          <w:b/>
        </w:rPr>
        <w:t xml:space="preserve">Primary Transport Mode:</w:t>
      </w:r>
      <w:r>
        <w:t xml:space="preserve"> </w:t>
      </w:r>
      <w:r>
        <w:t xml:space="preserve">Road Freight (HGV)</w:t>
      </w:r>
    </w:p>
    <w:p>
      <w:pPr>
        <w:numPr>
          <w:ilvl w:val="0"/>
          <w:numId w:val="1006"/>
        </w:numPr>
        <w:pStyle w:val="Compact"/>
      </w:pPr>
      <w:r>
        <w:rPr>
          <w:bCs/>
          <w:b/>
        </w:rPr>
        <w:t xml:space="preserve">Primary Transport Distance:</w:t>
      </w:r>
      <w:r>
        <w:t xml:space="preserve"> </w:t>
      </w:r>
      <w:r>
        <w:t xml:space="preserve">1500 km</w:t>
      </w:r>
    </w:p>
    <w:p>
      <w:pPr>
        <w:numPr>
          <w:ilvl w:val="0"/>
          <w:numId w:val="1006"/>
        </w:numPr>
        <w:pStyle w:val="Compact"/>
      </w:pPr>
      <w:r>
        <w:rPr>
          <w:bCs/>
          <w:b/>
        </w:rPr>
        <w:t xml:space="preserve">Last-Mile Delivery Channel:</w:t>
      </w:r>
      <w:r>
        <w:t xml:space="preserve"> </w:t>
      </w:r>
      <w:r>
        <w:t xml:space="preserve">Light Commercial Van</w:t>
      </w:r>
    </w:p>
    <w:p>
      <w:pPr>
        <w:numPr>
          <w:ilvl w:val="0"/>
          <w:numId w:val="1006"/>
        </w:numPr>
        <w:pStyle w:val="Compact"/>
      </w:pPr>
      <w:r>
        <w:t xml:space="preserve">Emission factor for Road Freight (HGV, &gt;20t, EU average): 0.092 kg CO2e/tonne-km</w:t>
      </w:r>
    </w:p>
    <w:p>
      <w:pPr>
        <w:numPr>
          <w:ilvl w:val="0"/>
          <w:numId w:val="1006"/>
        </w:numPr>
        <w:pStyle w:val="Compact"/>
      </w:pPr>
      <w:r>
        <w:t xml:space="preserve">Illustrative emission factor for Light Commercial Van (per unit last-mile delivery): 0.1 kg CO2e/unit (assuming average load and typical last-mile distance distribution)</w:t>
      </w:r>
    </w:p>
    <w:p>
      <w:pPr>
        <w:numPr>
          <w:ilvl w:val="0"/>
          <w:numId w:val="1006"/>
        </w:numPr>
        <w:pStyle w:val="Compact"/>
      </w:pPr>
      <w:r>
        <w:rPr>
          <w:bCs/>
          <w:b/>
        </w:rPr>
        <w:t xml:space="preserve">Primary Transport Emissions:</w:t>
      </w:r>
      <w:r>
        <w:t xml:space="preserve"> </w:t>
      </w:r>
      <w:r>
        <w:t xml:space="preserve">1.1 kg (product weight) * 1500 km * (0.092 kg CO2e/tonne-km / 1000 kg/tonne) = 0.15 kg CO2e</w:t>
      </w:r>
    </w:p>
    <w:p>
      <w:pPr>
        <w:numPr>
          <w:ilvl w:val="0"/>
          <w:numId w:val="1006"/>
        </w:numPr>
        <w:pStyle w:val="Compact"/>
      </w:pPr>
      <w:r>
        <w:rPr>
          <w:bCs/>
          <w:b/>
        </w:rPr>
        <w:t xml:space="preserve">Last-Mile Delivery Emissions:</w:t>
      </w:r>
      <w:r>
        <w:t xml:space="preserve"> </w:t>
      </w:r>
      <w:r>
        <w:t xml:space="preserve">0.1 kg CO2e</w:t>
      </w:r>
    </w:p>
    <w:p>
      <w:pPr>
        <w:numPr>
          <w:ilvl w:val="0"/>
          <w:numId w:val="1006"/>
        </w:numPr>
        <w:pStyle w:val="Compact"/>
      </w:pPr>
      <w:r>
        <w:rPr>
          <w:bCs/>
          <w:b/>
        </w:rPr>
        <w:t xml:space="preserve">Total Transport Emissions (Scope 3):</w:t>
      </w:r>
      <w:r>
        <w:t xml:space="preserve"> </w:t>
      </w:r>
      <w:r>
        <w:t xml:space="preserve">0.15 + 0.1 = 0.25 kg CO2e</w:t>
      </w:r>
    </w:p>
    <w:bookmarkEnd w:id="30"/>
    <w:bookmarkStart w:id="31" w:name="X75e1a6c1849ddea4e386e94c7574e9491ba7628"/>
    <w:p>
      <w:pPr>
        <w:pStyle w:val="Heading2"/>
      </w:pPr>
      <w:r>
        <w:t xml:space="preserve">3.4. Use Phase Emissions (Scope 3 - Category 11: Use of sold products)</w:t>
      </w:r>
    </w:p>
    <w:p>
      <w:pPr>
        <w:pStyle w:val="FirstParagraph"/>
      </w:pPr>
      <w:r>
        <w:t xml:space="preserve">The Use Phase calculation utilized specific durability and consumption data.</w:t>
      </w:r>
    </w:p>
    <w:p>
      <w:pPr>
        <w:numPr>
          <w:ilvl w:val="0"/>
          <w:numId w:val="1007"/>
        </w:numPr>
        <w:pStyle w:val="Compact"/>
      </w:pPr>
      <w:r>
        <w:rPr>
          <w:bCs/>
          <w:b/>
        </w:rPr>
        <w:t xml:space="preserve">Product Lifespan:</w:t>
      </w:r>
      <w:r>
        <w:t xml:space="preserve"> </w:t>
      </w:r>
      <w:r>
        <w:t xml:space="preserve">5 years</w:t>
      </w:r>
    </w:p>
    <w:p>
      <w:pPr>
        <w:numPr>
          <w:ilvl w:val="0"/>
          <w:numId w:val="1007"/>
        </w:numPr>
        <w:pStyle w:val="Compact"/>
      </w:pPr>
      <w:r>
        <w:rPr>
          <w:bCs/>
          <w:b/>
        </w:rPr>
        <w:t xml:space="preserve">Energy Consumption in Use:</w:t>
      </w:r>
      <w:r>
        <w:t xml:space="preserve"> </w:t>
      </w:r>
      <w:r>
        <w:t xml:space="preserve">0.5 kWh/day</w:t>
      </w:r>
    </w:p>
    <w:p>
      <w:pPr>
        <w:numPr>
          <w:ilvl w:val="0"/>
          <w:numId w:val="1007"/>
        </w:numPr>
        <w:pStyle w:val="Compact"/>
      </w:pPr>
      <w:r>
        <w:t xml:space="preserve">Total energy consumption over lifespan: 0.5 kWh/day * 365 days/year * 5 years = 912.5 kWh</w:t>
      </w:r>
    </w:p>
    <w:p>
      <w:pPr>
        <w:numPr>
          <w:ilvl w:val="0"/>
          <w:numId w:val="1007"/>
        </w:numPr>
        <w:pStyle w:val="Compact"/>
      </w:pPr>
      <w:r>
        <w:t xml:space="preserve">Emission factor for average grid electricity (China, assumed for consumer use without specific regional data for \'use phase\'): 0.6205 kg CO2e/kWh</w:t>
      </w:r>
    </w:p>
    <w:p>
      <w:pPr>
        <w:numPr>
          <w:ilvl w:val="0"/>
          <w:numId w:val="1007"/>
        </w:numPr>
        <w:pStyle w:val="Compact"/>
      </w:pPr>
      <w:r>
        <w:rPr>
          <w:bCs/>
          <w:b/>
        </w:rPr>
        <w:t xml:space="preserve">Total Use Phase Emissions (Scope 3):</w:t>
      </w:r>
      <w:r>
        <w:t xml:space="preserve"> </w:t>
      </w:r>
      <w:r>
        <w:t xml:space="preserve">912.5 kWh * 0.6205 kg CO2e/kWh = 566.11 kg CO2e</w:t>
      </w:r>
    </w:p>
    <w:bookmarkEnd w:id="31"/>
    <w:bookmarkStart w:id="32" w:name="X47a7121da66bd3f0579670a699e6f4e36ab35b8"/>
    <w:p>
      <w:pPr>
        <w:pStyle w:val="Heading2"/>
      </w:pPr>
      <w:r>
        <w:t xml:space="preserve">3.5. End-of-Life (EoL) Emissions/Benefits (Scope 3 - Category 12: End-of-life treatment of sold products)</w:t>
      </w:r>
    </w:p>
    <w:p>
      <w:pPr>
        <w:pStyle w:val="FirstParagraph"/>
      </w:pPr>
      <w:r>
        <w:t xml:space="preserve">EoL scenarios were incorporated to reflect circular economy impacts.</w:t>
      </w:r>
    </w:p>
    <w:p>
      <w:pPr>
        <w:numPr>
          <w:ilvl w:val="0"/>
          <w:numId w:val="1008"/>
        </w:numPr>
        <w:pStyle w:val="Compact"/>
      </w:pPr>
      <w:r>
        <w:rPr>
          <w:bCs/>
          <w:b/>
        </w:rPr>
        <w:t xml:space="preserve">Recyclability Percentage:</w:t>
      </w:r>
      <w:r>
        <w:t xml:space="preserve"> </w:t>
      </w:r>
      <w:r>
        <w:t xml:space="preserve">70%</w:t>
      </w:r>
    </w:p>
    <w:p>
      <w:pPr>
        <w:numPr>
          <w:ilvl w:val="0"/>
          <w:numId w:val="1008"/>
        </w:numPr>
        <w:pStyle w:val="Compact"/>
      </w:pPr>
      <w:r>
        <w:rPr>
          <w:bCs/>
          <w:b/>
        </w:rPr>
        <w:t xml:space="preserve">Circular/Take-back Programs:</w:t>
      </w:r>
      <w:r>
        <w:t xml:space="preserve"> </w:t>
      </w:r>
      <w:r>
        <w:t xml:space="preserve">Yes, with material recovery and refurbishment. (This implies a higher recycling rate and potential for avoided emissions.)</w:t>
      </w:r>
    </w:p>
    <w:p>
      <w:pPr>
        <w:numPr>
          <w:ilvl w:val="0"/>
          <w:numId w:val="1008"/>
        </w:numPr>
        <w:pStyle w:val="Compact"/>
      </w:pPr>
      <w:r>
        <w:t xml:space="preserve">Product weight: 1.1 kg</w:t>
      </w:r>
    </w:p>
    <w:p>
      <w:pPr>
        <w:numPr>
          <w:ilvl w:val="0"/>
          <w:numId w:val="1008"/>
        </w:numPr>
        <w:pStyle w:val="Compact"/>
      </w:pPr>
      <w:r>
        <w:t xml:space="preserve">Recycled portion: 1.1 kg * 70% = 0.77 kg</w:t>
      </w:r>
    </w:p>
    <w:p>
      <w:pPr>
        <w:numPr>
          <w:ilvl w:val="0"/>
          <w:numId w:val="1008"/>
        </w:numPr>
        <w:pStyle w:val="Compact"/>
      </w:pPr>
      <w:r>
        <w:t xml:space="preserve">Landfilled portion: 1.1 kg * (1 - 70%) = 0.33 kg</w:t>
      </w:r>
    </w:p>
    <w:p>
      <w:pPr>
        <w:numPr>
          <w:ilvl w:val="0"/>
          <w:numId w:val="1008"/>
        </w:numPr>
        <w:pStyle w:val="Compact"/>
      </w:pPr>
      <w:r>
        <w:t xml:space="preserve">Illustrative emission factor for landfilling (generic waste): 1.0 kg CO2e/kg</w:t>
      </w:r>
    </w:p>
    <w:p>
      <w:pPr>
        <w:numPr>
          <w:ilvl w:val="0"/>
          <w:numId w:val="1008"/>
        </w:numPr>
        <w:pStyle w:val="Compact"/>
      </w:pPr>
      <w:r>
        <w:t xml:space="preserve">Illustrative recycling benefit (credit for avoided virgin material production, averaged for mixed materials): -5.0 kg CO2e/kg</w:t>
      </w:r>
    </w:p>
    <w:p>
      <w:pPr>
        <w:numPr>
          <w:ilvl w:val="0"/>
          <w:numId w:val="1008"/>
        </w:numPr>
        <w:pStyle w:val="Compact"/>
      </w:pPr>
      <w:r>
        <w:rPr>
          <w:bCs/>
          <w:b/>
        </w:rPr>
        <w:t xml:space="preserve">Emissions from landfill:</w:t>
      </w:r>
      <w:r>
        <w:t xml:space="preserve"> </w:t>
      </w:r>
      <w:r>
        <w:t xml:space="preserve">0.33 kg * 1.0 kg CO2e/kg = 0.33 kg CO2e</w:t>
      </w:r>
    </w:p>
    <w:p>
      <w:pPr>
        <w:numPr>
          <w:ilvl w:val="0"/>
          <w:numId w:val="1008"/>
        </w:numPr>
        <w:pStyle w:val="Compact"/>
      </w:pPr>
      <w:r>
        <w:rPr>
          <w:bCs/>
          <w:b/>
        </w:rPr>
        <w:t xml:space="preserve">Recycling Benefit (Credit):</w:t>
      </w:r>
      <w:r>
        <w:t xml:space="preserve"> </w:t>
      </w:r>
      <w:r>
        <w:t xml:space="preserve">0.77 kg * -5.0 kg CO2e/kg = -3.85 kg CO2e</w:t>
      </w:r>
    </w:p>
    <w:p>
      <w:pPr>
        <w:numPr>
          <w:ilvl w:val="0"/>
          <w:numId w:val="1008"/>
        </w:numPr>
        <w:pStyle w:val="Compact"/>
      </w:pPr>
      <w:r>
        <w:rPr>
          <w:bCs/>
          <w:b/>
        </w:rPr>
        <w:t xml:space="preserve">Total EoL Emissions (Scope 3):</w:t>
      </w:r>
      <w:r>
        <w:t xml:space="preserve"> </w:t>
      </w:r>
      <w:r>
        <w:t xml:space="preserve">0.33 - 3.85 = -3.52 kg CO2e (Net credit)</w:t>
      </w:r>
    </w:p>
    <w:p>
      <w:r>
        <w:pict>
          <v:rect style="width:0;height:1.5pt" o:hralign="center" o:hrstd="t" o:hr="t"/>
        </w:pict>
      </w:r>
    </w:p>
    <w:bookmarkEnd w:id="32"/>
    <w:bookmarkEnd w:id="33"/>
    <w:bookmarkStart w:id="38" w:name="review-report-step-5"/>
    <w:p>
      <w:pPr>
        <w:pStyle w:val="Heading1"/>
      </w:pPr>
      <w:r>
        <w:t xml:space="preserve">4. Review &amp; Report (Step 5)</w:t>
      </w:r>
    </w:p>
    <w:bookmarkStart w:id="34" w:name="total-product-carbon-footprint-pcf"/>
    <w:p>
      <w:pPr>
        <w:pStyle w:val="Heading2"/>
      </w:pPr>
      <w:r>
        <w:t xml:space="preserve">4.1. Total Product Carbon Footprint (PCF)</w:t>
      </w:r>
    </w:p>
    <w:p>
      <w:pPr>
        <w:pStyle w:val="FirstParagraph"/>
      </w:pPr>
      <w:r>
        <w:t xml:space="preserve">The total Product Carbon Footprint for one functional unit of elhorjfvri is: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Emissions (kg CO2e)</w:t>
            </w:r>
          </w:p>
        </w:tc>
        <w:tc>
          <w:tcPr/>
          <w:p>
            <w:pPr>
              <w:pStyle w:val="Compact"/>
              <w:jc w:val="left"/>
            </w:pPr>
            <w:r>
              <w:t xml:space="preserve">Scope</w:t>
            </w:r>
          </w:p>
        </w:tc>
      </w:tr>
      <w:tr>
        <w:tc>
          <w:tcPr/>
          <w:p>
            <w:pPr>
              <w:pStyle w:val="Compact"/>
              <w:jc w:val="left"/>
            </w:pPr>
            <w:r>
              <w:t xml:space="preserve">Material Acquisition &amp; Processing</w:t>
            </w:r>
          </w:p>
        </w:tc>
        <w:tc>
          <w:tcPr/>
          <w:p>
            <w:pPr>
              <w:pStyle w:val="Compact"/>
              <w:jc w:val="left"/>
            </w:pPr>
            <w:r>
              <w:t xml:space="preserve">8.15</w:t>
            </w:r>
          </w:p>
        </w:tc>
        <w:tc>
          <w:tcPr/>
          <w:p>
            <w:pPr>
              <w:pStyle w:val="Compact"/>
              <w:jc w:val="left"/>
            </w:pPr>
            <w:r>
              <w:t xml:space="preserve">Scope 3</w:t>
            </w:r>
          </w:p>
        </w:tc>
      </w:tr>
      <w:tr>
        <w:tc>
          <w:tcPr/>
          <w:p>
            <w:pPr>
              <w:pStyle w:val="Compact"/>
              <w:jc w:val="left"/>
            </w:pPr>
            <w:r>
              <w:t xml:space="preserve">Production Phase</w:t>
            </w:r>
          </w:p>
        </w:tc>
        <w:tc>
          <w:tcPr/>
          <w:p>
            <w:pPr>
              <w:pStyle w:val="Compact"/>
              <w:jc w:val="left"/>
            </w:pPr>
            <w:r>
              <w:t xml:space="preserve">3.25</w:t>
            </w:r>
          </w:p>
        </w:tc>
        <w:tc>
          <w:tcPr/>
          <w:p>
            <w:pPr>
              <w:pStyle w:val="Compact"/>
              <w:jc w:val="left"/>
            </w:pPr>
            <w:r>
              <w:t xml:space="preserve">Scope 2</w:t>
            </w:r>
          </w:p>
        </w:tc>
      </w:tr>
      <w:tr>
        <w:tc>
          <w:tcPr/>
          <w:p>
            <w:pPr>
              <w:pStyle w:val="Compact"/>
              <w:jc w:val="left"/>
            </w:pPr>
            <w:r>
              <w:t xml:space="preserve">Transport &amp; Logistics</w:t>
            </w:r>
          </w:p>
        </w:tc>
        <w:tc>
          <w:tcPr/>
          <w:p>
            <w:pPr>
              <w:pStyle w:val="Compact"/>
              <w:jc w:val="left"/>
            </w:pPr>
            <w:r>
              <w:t xml:space="preserve">0.25</w:t>
            </w:r>
          </w:p>
        </w:tc>
        <w:tc>
          <w:tcPr/>
          <w:p>
            <w:pPr>
              <w:pStyle w:val="Compact"/>
              <w:jc w:val="left"/>
            </w:pPr>
            <w:r>
              <w:t xml:space="preserve">Scope 3</w:t>
            </w:r>
          </w:p>
        </w:tc>
      </w:tr>
      <w:tr>
        <w:tc>
          <w:tcPr/>
          <w:p>
            <w:pPr>
              <w:pStyle w:val="Compact"/>
              <w:jc w:val="left"/>
            </w:pPr>
            <w:r>
              <w:t xml:space="preserve">Use Phase</w:t>
            </w:r>
          </w:p>
        </w:tc>
        <w:tc>
          <w:tcPr/>
          <w:p>
            <w:pPr>
              <w:pStyle w:val="Compact"/>
              <w:jc w:val="left"/>
            </w:pPr>
            <w:r>
              <w:t xml:space="preserve">566.11</w:t>
            </w:r>
          </w:p>
        </w:tc>
        <w:tc>
          <w:tcPr/>
          <w:p>
            <w:pPr>
              <w:pStyle w:val="Compact"/>
              <w:jc w:val="left"/>
            </w:pPr>
            <w:r>
              <w:t xml:space="preserve">Scope 3</w:t>
            </w:r>
          </w:p>
        </w:tc>
      </w:tr>
      <w:tr>
        <w:tc>
          <w:tcPr/>
          <w:p>
            <w:pPr>
              <w:pStyle w:val="Compact"/>
              <w:jc w:val="left"/>
            </w:pPr>
            <w:r>
              <w:t xml:space="preserve">End-of-Life</w:t>
            </w:r>
          </w:p>
        </w:tc>
        <w:tc>
          <w:tcPr/>
          <w:p>
            <w:pPr>
              <w:pStyle w:val="Compact"/>
              <w:jc w:val="left"/>
            </w:pPr>
            <w:r>
              <w:t xml:space="preserve">-3.52</w:t>
            </w:r>
          </w:p>
        </w:tc>
        <w:tc>
          <w:tcPr/>
          <w:p>
            <w:pPr>
              <w:pStyle w:val="Compact"/>
              <w:jc w:val="left"/>
            </w:pPr>
            <w:r>
              <w:t xml:space="preserve">Scope 3</w:t>
            </w:r>
          </w:p>
        </w:tc>
      </w:tr>
      <w:tr>
        <w:tc>
          <w:tcPr/>
          <w:p>
            <w:pPr>
              <w:pStyle w:val="Compact"/>
              <w:jc w:val="left"/>
            </w:pPr>
            <w:r>
              <w:rPr>
                <w:bCs/>
                <w:b/>
              </w:rPr>
              <w:t xml:space="preserve">Total PCF</w:t>
            </w:r>
          </w:p>
        </w:tc>
        <w:tc>
          <w:tcPr/>
          <w:p>
            <w:pPr>
              <w:pStyle w:val="Compact"/>
              <w:jc w:val="left"/>
            </w:pPr>
            <w:r>
              <w:rPr>
                <w:bCs/>
                <w:b/>
              </w:rPr>
              <w:t xml:space="preserve">574.25</w:t>
            </w:r>
          </w:p>
        </w:tc>
        <w:tc>
          <w:tcPr/>
          <w:p>
            <w:pPr>
              <w:pStyle w:val="Compact"/>
            </w:pPr>
          </w:p>
        </w:tc>
      </w:tr>
    </w:tbl>
    <w:bookmarkEnd w:id="34"/>
    <w:bookmarkStart w:id="35" w:name="Xdbea411ba479f4fc7882af9c5dd5d0262188425"/>
    <w:p>
      <w:pPr>
        <w:pStyle w:val="Heading2"/>
      </w:pPr>
      <w:r>
        <w:t xml:space="preserve">4.2. Emissions Breakdown by GHG Protocol Scope</w:t>
      </w:r>
    </w:p>
    <w:p>
      <w:pPr>
        <w:numPr>
          <w:ilvl w:val="0"/>
          <w:numId w:val="1009"/>
        </w:numPr>
        <w:pStyle w:val="Compact"/>
      </w:pPr>
      <w:r>
        <w:rPr>
          <w:bCs/>
          <w:b/>
        </w:rPr>
        <w:t xml:space="preserve">Scope 1 Emissions:</w:t>
      </w:r>
      <w:r>
        <w:t xml:space="preserve"> </w:t>
      </w:r>
      <w:r>
        <w:t xml:space="preserve">0.00 kg CO2e (Assumed negligible for \'factory_gate\' boundary without direct fuel combustion data, all direct process emissions assumed covered by BOM \'Total Carbon\' or energy intensity)</w:t>
      </w:r>
    </w:p>
    <w:p>
      <w:pPr>
        <w:numPr>
          <w:ilvl w:val="0"/>
          <w:numId w:val="1009"/>
        </w:numPr>
        <w:pStyle w:val="Compact"/>
      </w:pPr>
      <w:r>
        <w:rPr>
          <w:bCs/>
          <w:b/>
        </w:rPr>
        <w:t xml:space="preserve">Scope 2 Emissions:</w:t>
      </w:r>
      <w:r>
        <w:t xml:space="preserve"> </w:t>
      </w:r>
      <w:r>
        <w:t xml:space="preserve">3.25 kg CO2e (Purchased electricity for production)</w:t>
      </w:r>
    </w:p>
    <w:p>
      <w:pPr>
        <w:numPr>
          <w:ilvl w:val="0"/>
          <w:numId w:val="1009"/>
        </w:numPr>
        <w:pStyle w:val="Compact"/>
      </w:pPr>
      <w:r>
        <w:rPr>
          <w:bCs/>
          <w:b/>
        </w:rPr>
        <w:t xml:space="preserve">Scope 3 Emissions:</w:t>
      </w:r>
    </w:p>
    <w:p>
      <w:pPr>
        <w:numPr>
          <w:ilvl w:val="1"/>
          <w:numId w:val="1010"/>
        </w:numPr>
        <w:pStyle w:val="Compact"/>
      </w:pPr>
      <w:r>
        <w:t xml:space="preserve">Category 1 (Purchased goods and services - Materials): 8.15 kg CO2e</w:t>
      </w:r>
    </w:p>
    <w:p>
      <w:pPr>
        <w:numPr>
          <w:ilvl w:val="1"/>
          <w:numId w:val="1010"/>
        </w:numPr>
        <w:pStyle w:val="Compact"/>
      </w:pPr>
      <w:r>
        <w:t xml:space="preserve">Category 4 (Upstream transportation &amp; distribution): Included in 0.25 kg CO2e from Primary Transport</w:t>
      </w:r>
    </w:p>
    <w:p>
      <w:pPr>
        <w:numPr>
          <w:ilvl w:val="1"/>
          <w:numId w:val="1010"/>
        </w:numPr>
        <w:pStyle w:val="Compact"/>
      </w:pPr>
      <w:r>
        <w:t xml:space="preserve">Category 9 (Downstream transportation &amp; distribution): Included in 0.25 kg CO2e from Last-Mile Delivery</w:t>
      </w:r>
    </w:p>
    <w:p>
      <w:pPr>
        <w:numPr>
          <w:ilvl w:val="1"/>
          <w:numId w:val="1010"/>
        </w:numPr>
        <w:pStyle w:val="Compact"/>
      </w:pPr>
      <w:r>
        <w:t xml:space="preserve">Category 11 (Use of sold products): 566.11 kg CO2e</w:t>
      </w:r>
    </w:p>
    <w:p>
      <w:pPr>
        <w:numPr>
          <w:ilvl w:val="1"/>
          <w:numId w:val="1010"/>
        </w:numPr>
        <w:pStyle w:val="Compact"/>
      </w:pPr>
      <w:r>
        <w:t xml:space="preserve">Category 12 (End-of-life treatment of sold products): -3.52 kg CO2e</w:t>
      </w:r>
    </w:p>
    <w:p>
      <w:pPr>
        <w:numPr>
          <w:ilvl w:val="1"/>
          <w:numId w:val="1010"/>
        </w:numPr>
        <w:pStyle w:val="Compact"/>
      </w:pPr>
      <w:r>
        <w:rPr>
          <w:bCs/>
          <w:b/>
        </w:rPr>
        <w:t xml:space="preserve">Total Scope 3 Emissions:</w:t>
      </w:r>
      <w:r>
        <w:t xml:space="preserve"> </w:t>
      </w:r>
      <w:r>
        <w:t xml:space="preserve">570.99 kg CO2e</w:t>
      </w:r>
    </w:p>
    <w:p>
      <w:pPr>
        <w:pStyle w:val="FirstParagraph"/>
      </w:pPr>
      <w:r>
        <w:t xml:space="preserve">The calculated Scope 3 emissions (570.99 kg CO2e) represent approximately 99.43% of the total PCF, effectively meeting the GHG Protocol\'s 2026 requirement for at least 95% Scope 3 coverage.</w:t>
      </w:r>
    </w:p>
    <w:bookmarkEnd w:id="35"/>
    <w:bookmarkStart w:id="36" w:name="hotspots-and-reliability"/>
    <w:p>
      <w:pPr>
        <w:pStyle w:val="Heading2"/>
      </w:pPr>
      <w:r>
        <w:t xml:space="preserve">4.3. Hotspots and Reliability</w:t>
      </w:r>
    </w:p>
    <w:p>
      <w:pPr>
        <w:numPr>
          <w:ilvl w:val="0"/>
          <w:numId w:val="1011"/>
        </w:numPr>
        <w:pStyle w:val="Compact"/>
      </w:pPr>
      <w:r>
        <w:rPr>
          <w:bCs/>
          <w:b/>
        </w:rPr>
        <w:t xml:space="preserve">Primary Hotspot:</w:t>
      </w:r>
      <w:r>
        <w:t xml:space="preserve"> </w:t>
      </w:r>
      <w:r>
        <w:t xml:space="preserve">The</w:t>
      </w:r>
      <w:r>
        <w:t xml:space="preserve"> </w:t>
      </w:r>
      <w:r>
        <w:rPr>
          <w:bCs/>
          <w:b/>
        </w:rPr>
        <w:t xml:space="preserve">Use Phase</w:t>
      </w:r>
      <w:r>
        <w:t xml:space="preserve"> </w:t>
      </w:r>
      <w:r>
        <w:t xml:space="preserve">is overwhelmingly the dominant contributor to the product\'s carbon footprint (566.11 kg CO2e, approximately 98.5% of the total). This indicates that the energy consumption during the product\'s lifespan is the most critical area for emission reduction efforts.</w:t>
      </w:r>
    </w:p>
    <w:p>
      <w:pPr>
        <w:numPr>
          <w:ilvl w:val="0"/>
          <w:numId w:val="1011"/>
        </w:numPr>
        <w:pStyle w:val="Compact"/>
      </w:pPr>
      <w:r>
        <w:rPr>
          <w:bCs/>
          <w:b/>
        </w:rPr>
        <w:t xml:space="preserve">Secondary Hotspot:</w:t>
      </w:r>
      <w:r>
        <w:t xml:space="preserve"> </w:t>
      </w:r>
      <w:r>
        <w:t xml:space="preserve">Material Acquisition &amp; Processing also contributes significantly (8.15 kg CO2e). Optimizing material choices and engaging with suppliers for lower-carbon alternatives could yield reductions.</w:t>
      </w:r>
    </w:p>
    <w:p>
      <w:pPr>
        <w:numPr>
          <w:ilvl w:val="0"/>
          <w:numId w:val="1011"/>
        </w:numPr>
        <w:pStyle w:val="Compact"/>
      </w:pPr>
      <w:r>
        <w:rPr>
          <w:bCs/>
          <w:b/>
        </w:rPr>
        <w:t xml:space="preserve">Data Reliability:</w:t>
      </w:r>
      <w:r>
        <w:t xml:space="preserve"> </w:t>
      </w:r>
      <w:r>
        <w:t xml:space="preserve">The analysis relies on provided primary data (BOM, energy usage, logistics parameters) and robust, industry-standard secondary emission factors. While the placeholders necessitated some illustrative factor assumptions, a real-world application would use more specific Ecoinvent/DEFRA data or primary supplier-specific data for enhanced accuracy. The 2026 LSR Standard guidance is currently being published, and future updates would refine accounting for land-based removals if applicable to the product\'s value chain.</w:t>
      </w:r>
    </w:p>
    <w:bookmarkEnd w:id="36"/>
    <w:bookmarkStart w:id="37" w:name="recommendations"/>
    <w:p>
      <w:pPr>
        <w:pStyle w:val="Heading2"/>
      </w:pPr>
      <w:r>
        <w:t xml:space="preserve">4.4. Recommendations</w:t>
      </w:r>
    </w:p>
    <w:p>
      <w:pPr>
        <w:pStyle w:val="FirstParagraph"/>
      </w:pPr>
      <w:r>
        <w:t xml:space="preserve">Based on this PCF analysis, the following recommendations are made for ivnjzimrvi to reduce the environmental impact of elhorjfvri:</w:t>
      </w:r>
    </w:p>
    <w:p>
      <w:pPr>
        <w:numPr>
          <w:ilvl w:val="0"/>
          <w:numId w:val="1012"/>
        </w:numPr>
        <w:pStyle w:val="Compact"/>
      </w:pPr>
      <w:r>
        <w:rPr>
          <w:bCs/>
          <w:b/>
        </w:rPr>
        <w:t xml:space="preserve">Prioritize Use Phase Efficiency:</w:t>
      </w:r>
      <w:r>
        <w:t xml:space="preserve"> </w:t>
      </w:r>
      <w:r>
        <w:t xml:space="preserve">Focus on redesigning elhorjfvri to significantly reduce its energy consumption during the 5-year lifespan. This could involve using more energy-efficient components, optimizing software for lower power draw, or exploring alternative power sources.</w:t>
      </w:r>
    </w:p>
    <w:p>
      <w:pPr>
        <w:numPr>
          <w:ilvl w:val="0"/>
          <w:numId w:val="1012"/>
        </w:numPr>
        <w:pStyle w:val="Compact"/>
      </w:pPr>
      <w:r>
        <w:rPr>
          <w:bCs/>
          <w:b/>
        </w:rPr>
        <w:t xml:space="preserve">Enhance Material Circularity:</w:t>
      </w:r>
      <w:r>
        <w:t xml:space="preserve"> </w:t>
      </w:r>
      <w:r>
        <w:t xml:space="preserve">Investigate opportunities to use recycled content in the Aluminum Casing, Plastic Enclosure, and other components to reduce upstream material emissions.</w:t>
      </w:r>
    </w:p>
    <w:p>
      <w:pPr>
        <w:numPr>
          <w:ilvl w:val="0"/>
          <w:numId w:val="1012"/>
        </w:numPr>
        <w:pStyle w:val="Compact"/>
      </w:pPr>
      <w:r>
        <w:rPr>
          <w:bCs/>
          <w:b/>
        </w:rPr>
        <w:t xml:space="preserve">Optimize Logistics:</w:t>
      </w:r>
      <w:r>
        <w:t xml:space="preserve"> </w:t>
      </w:r>
      <w:r>
        <w:t xml:space="preserve">While transport is a smaller contributor, continuous optimization of transport routes, modes (e.g., shifting to lower-emission freight where feasible), and load factors, especially for long-distance primary transport, should be pursued.</w:t>
      </w:r>
    </w:p>
    <w:p>
      <w:pPr>
        <w:numPr>
          <w:ilvl w:val="0"/>
          <w:numId w:val="1012"/>
        </w:numPr>
        <w:pStyle w:val="Compact"/>
      </w:pPr>
      <w:r>
        <w:rPr>
          <w:bCs/>
          <w:b/>
        </w:rPr>
        <w:t xml:space="preserve">Expand Circular Programs:</w:t>
      </w:r>
      <w:r>
        <w:t xml:space="preserve"> </w:t>
      </w:r>
      <w:r>
        <w:t xml:space="preserve">Capitalize on the existing circular/take-back programs by exploring refurbishment and reuse strategies beyond just material recovery, further enhancing EoL benefits.</w:t>
      </w:r>
    </w:p>
    <w:p>
      <w:pPr>
        <w:numPr>
          <w:ilvl w:val="0"/>
          <w:numId w:val="1012"/>
        </w:numPr>
        <w:pStyle w:val="Compact"/>
      </w:pPr>
      <w:r>
        <w:rPr>
          <w:bCs/>
          <w:b/>
        </w:rPr>
        <w:t xml:space="preserve">Supplier Engagement:</w:t>
      </w:r>
      <w:r>
        <w:t xml:space="preserve"> </w:t>
      </w:r>
      <w:r>
        <w:t xml:space="preserve">Collaborate with suppliers to identify and procure lower-carbon materials and components, especially for high-impact items like batteries and specialized electronics.</w:t>
      </w:r>
    </w:p>
    <w:p>
      <w:pPr>
        <w:numPr>
          <w:ilvl w:val="0"/>
          <w:numId w:val="1012"/>
        </w:numPr>
        <w:pStyle w:val="Compact"/>
      </w:pPr>
      <w:r>
        <w:rPr>
          <w:bCs/>
          <w:b/>
        </w:rPr>
        <w:t xml:space="preserve">Implement LSR Standard:</w:t>
      </w:r>
      <w:r>
        <w:t xml:space="preserve"> </w:t>
      </w:r>
      <w:r>
        <w:t xml:space="preserve">As the GHG Protocol LSR Standard becomes effective (January 1, 2027), ivnjzimrvi should prepare to incorporate its requirements, particularly if the product\'s components involve land-intensive processes or if the company engages in carbon removal activities.</w:t>
      </w:r>
    </w:p>
    <w:p>
      <w:r>
        <w:pict>
          <v:rect style="width:0;height:1.5pt" o:hralign="center" o:hrstd="t" o:hr="t"/>
        </w:pict>
      </w:r>
    </w:p>
    <w:p>
      <w:pPr>
        <w:pStyle w:val="FirstParagraph"/>
      </w:pPr>
      <w:r>
        <w:t xml:space="preserve">Confidential - Internal Use Only</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elhorjfvri</dc:title>
  <dc:creator/>
  <dc:description>Detailed Product Carbon Footprint (PCF) analysis for elhorjfvri, adhering to GHG Protocol standards and 2026 updates, performed by jvgqjwjhst.</dc:description>
  <dc:language>en</dc:language>
  <cp:keywords/>
  <dcterms:created xsi:type="dcterms:W3CDTF">2026-05-30T23:52:42Z</dcterms:created>
  <dcterms:modified xsi:type="dcterms:W3CDTF">2026-05-30T23:52:42Z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