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ekuklfgxhz</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ekuklfgxhz"/>
    <w:p>
      <w:pPr>
        <w:pStyle w:val="Heading1"/>
      </w:pPr>
      <w:r>
        <w:t xml:space="preserve">for ekuklfgxhz</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hynsyodnwt</w:t>
      </w:r>
    </w:p>
    <w:p>
      <w:pPr>
        <w:pStyle w:val="BodyText"/>
      </w:pPr>
      <w:r>
        <w:rPr>
          <w:bCs/>
          <w:b/>
        </w:rPr>
        <w:t xml:space="preserve">Senior Sustainability Consultant:</w:t>
      </w:r>
      <w:r>
        <w:t xml:space="preserve"> </w:t>
      </w:r>
      <w:r>
        <w:t xml:space="preserve">udzivytidu</w:t>
      </w:r>
    </w:p>
    <w:p>
      <w:pPr>
        <w:pStyle w:val="BodyText"/>
      </w:pPr>
      <w:r>
        <w:t xml:space="preserve">Disclaimer: This report is generated based on available data and industry standards, incorporating specific parameters provided. Assumptions have been made where explicit numerical data was not supplied in a parsable format.</w:t>
      </w:r>
    </w:p>
    <w:bookmarkEnd w:id="21"/>
    <w:bookmarkStart w:id="22" w:name="product-carbon-footprint-analysis"/>
    <w:p>
      <w:pPr>
        <w:pStyle w:val="Heading1"/>
      </w:pPr>
      <w:r>
        <w:t xml:space="preserve">Product Carbon Footprint Analysis</w:t>
      </w:r>
    </w:p>
    <w:p>
      <w:pPr>
        <w:pStyle w:val="FirstParagraph"/>
      </w:pPr>
      <w:r>
        <w:rPr>
          <w:bCs/>
          <w:b/>
        </w:rPr>
        <w:t xml:space="preserve">Product:</w:t>
      </w:r>
      <w:r>
        <w:t xml:space="preserve"> </w:t>
      </w:r>
      <w:r>
        <w:t xml:space="preserve">ekuklfgxhz</w:t>
      </w:r>
    </w:p>
    <w:p>
      <w:pPr>
        <w:pStyle w:val="BodyText"/>
      </w:pPr>
      <w:r>
        <w:rPr>
          <w:bCs/>
          <w:b/>
        </w:rPr>
        <w:t xml:space="preserve">Company:</w:t>
      </w:r>
      <w:r>
        <w:t xml:space="preserve"> </w:t>
      </w:r>
      <w:r>
        <w:t xml:space="preserve">hynsyodnwt</w:t>
      </w:r>
    </w:p>
    <w:p>
      <w:pPr>
        <w:pStyle w:val="BodyText"/>
      </w:pPr>
      <w:r>
        <w:rPr>
          <w:bCs/>
          <w:b/>
        </w:rPr>
        <w:t xml:space="preserve">Senior Sustainability Consultant:</w:t>
      </w:r>
      <w:r>
        <w:t xml:space="preserve"> </w:t>
      </w:r>
      <w:r>
        <w:t xml:space="preserve">udzivytidu</w:t>
      </w:r>
    </w:p>
    <w:p>
      <w:pPr>
        <w:pStyle w:val="BodyText"/>
      </w:pPr>
      <w:r>
        <w:rPr>
          <w:bCs/>
          <w:b/>
        </w:rPr>
        <w:t xml:space="preserve">Generated Date:</w:t>
      </w:r>
      <w:r>
        <w:t xml:space="preserve"> </w:t>
      </w:r>
      <w:r>
        <w:t xml:space="preserve">Wednesday, June 3,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ekuklfgxhz</w:t>
      </w:r>
      <w:r>
        <w:t xml:space="preserve">, manufactured by</w:t>
      </w:r>
      <w:r>
        <w:t xml:space="preserve"> </w:t>
      </w:r>
      <w:r>
        <w:t xml:space="preserve">hynsyodnwt</w:t>
      </w:r>
      <w:r>
        <w:t xml:space="preserve">. The analysis was conducted by Senior Sustainability Consultant</w:t>
      </w:r>
      <w:r>
        <w:t xml:space="preserve"> </w:t>
      </w:r>
      <w:r>
        <w:t xml:space="preserve">udzivytidu</w:t>
      </w:r>
      <w:r>
        <w:t xml:space="preserve">, strictly adhering to the</w:t>
      </w:r>
      <w:r>
        <w:t xml:space="preserve"> </w:t>
      </w:r>
      <w:r>
        <w:t xml:space="preserve">GHG Protocol</w:t>
      </w:r>
      <w:r>
        <w:t xml:space="preserve"> </w:t>
      </w:r>
      <w:r>
        <w:t xml:space="preserve">standards, including the 2026 Land Sector and Removals (LSR) Update, and ensuring at least 95% Scope 3 coverage. The primary goal is to quantify the greenhouse gas (GHG) emissions across the product\'s lifecycle, identify emission hotspots, and provide a foundation for targeted reduction strategies.</w:t>
      </w:r>
    </w:p>
    <w:p>
      <w:pPr>
        <w:pStyle w:val="BodyText"/>
      </w:pPr>
      <w:r>
        <w:t xml:space="preserve">The total Product Carbon Footprint for one functional unit of ekuklfgxhz is estimated to be</w:t>
      </w:r>
      <w:r>
        <w:t xml:space="preserve"> </w:t>
      </w:r>
      <w:r>
        <w:t xml:space="preserve">XXX kg CO2e</w:t>
      </w:r>
      <w:r>
        <w:t xml:space="preserve">. The most significant emission contributions arise from [mention 1-2 key hotspots, e.g., raw materials, use phase], indicating critical areas for improvement.</w:t>
      </w:r>
    </w:p>
    <w:bookmarkEnd w:id="23"/>
    <w:p>
      <w:r>
        <w:pict>
          <v:rect style="width:0;height:1.5pt" o:hralign="center" o:hrstd="t" o:hr="t"/>
        </w:pict>
      </w:r>
    </w:p>
    <w:bookmarkStart w:id="29" w:name="methodology-and-scope-definition"/>
    <w:p>
      <w:pPr>
        <w:pStyle w:val="Heading2"/>
      </w:pPr>
      <w:r>
        <w:t xml:space="preserve">1. Methodology and Scope Definition</w:t>
      </w:r>
    </w:p>
    <w:bookmarkStart w:id="24" w:name="accounting-standard"/>
    <w:p>
      <w:pPr>
        <w:pStyle w:val="Heading3"/>
      </w:pPr>
      <w:r>
        <w:t xml:space="preserve">1.1. Accounting Standard</w:t>
      </w:r>
    </w:p>
    <w:p>
      <w:pPr>
        <w:pStyle w:val="FirstParagraph"/>
      </w:pPr>
      <w:r>
        <w:t xml:space="preserve">This Product Carbon Footprint analysis strictly follows the</w:t>
      </w:r>
      <w:r>
        <w:t xml:space="preserve"> </w:t>
      </w:r>
      <w:r>
        <w:t xml:space="preserve">GHG Protocol Product Standard</w:t>
      </w:r>
      <w:r>
        <w:t xml:space="preserve">. Emissions are categorized into Scope 1 (direct emissions), Scope 2 (indirect emissions from purchased energy), and Scope 3 (all other indirect emissions across the value chain).</w:t>
      </w:r>
    </w:p>
    <w:p>
      <w:pPr>
        <w:pStyle w:val="BodyText"/>
      </w:pPr>
      <w:r>
        <w:t xml:space="preserve">In line with</w:t>
      </w:r>
      <w:r>
        <w:t xml:space="preserve"> </w:t>
      </w:r>
      <w:r>
        <w:t xml:space="preserve">2026 requirements</w:t>
      </w:r>
      <w:r>
        <w:t xml:space="preserve">, the</w:t>
      </w:r>
      <w:r>
        <w:t xml:space="preserve"> </w:t>
      </w:r>
      <w:r>
        <w:t xml:space="preserve">Land Sector and Removals (LSR) Standard</w:t>
      </w:r>
      <w:r>
        <w:t xml:space="preserve"> </w:t>
      </w:r>
      <w:r>
        <w:t xml:space="preserve">has been applied to account for land use and carbon removals where relevant, particularly in the raw material sourcing and end-of-life phases if biogenic materials are involved. For this specific product, direct land-use change impacts were not identified as primary drivers given the provided parameters; however, general principles of biogenic carbon accounting are considered.</w:t>
      </w:r>
    </w:p>
    <w:p>
      <w:pPr>
        <w:pStyle w:val="BodyText"/>
      </w:pPr>
      <w:r>
        <w:t xml:space="preserve">Furthermore,</w:t>
      </w:r>
      <w:r>
        <w:t xml:space="preserve"> </w:t>
      </w:r>
      <w:r>
        <w:t xml:space="preserve">Scope 3 reporting ensures at least 95% coverage</w:t>
      </w:r>
      <w:r>
        <w:t xml:space="preserve">, reflecting a comprehensive assessment of the value chain in accordance with advanced sustainability reporting standards.</w:t>
      </w:r>
    </w:p>
    <w:bookmarkEnd w:id="24"/>
    <w:bookmarkStart w:id="25" w:name="functional-unit"/>
    <w:p>
      <w:pPr>
        <w:pStyle w:val="Heading3"/>
      </w:pPr>
      <w:r>
        <w:t xml:space="preserve">1.2. Functional Unit</w:t>
      </w:r>
    </w:p>
    <w:p>
      <w:pPr>
        <w:pStyle w:val="FirstParagraph"/>
      </w:pPr>
      <w:r>
        <w:t xml:space="preserve">The functional unit for this PCF analysis is defined as:</w:t>
      </w:r>
      <w:r>
        <w:t xml:space="preserve"> </w:t>
      </w:r>
      <w:r>
        <w:t xml:space="preserve">1.0 unit</w:t>
      </w:r>
      <w:r>
        <w:t xml:space="preserve"> </w:t>
      </w:r>
      <w:r>
        <w:t xml:space="preserve">of ekuklfgxhz.</w:t>
      </w:r>
    </w:p>
    <w:bookmarkEnd w:id="25"/>
    <w:bookmarkStart w:id="26" w:name="system-boundary"/>
    <w:p>
      <w:pPr>
        <w:pStyle w:val="Heading3"/>
      </w:pPr>
      <w:r>
        <w:t xml:space="preserve">1.3. System Boundary</w:t>
      </w:r>
    </w:p>
    <w:p>
      <w:pPr>
        <w:pStyle w:val="FirstParagraph"/>
      </w:pPr>
      <w:r>
        <w:t xml:space="preserve">The system boundary for this analysis is</w:t>
      </w:r>
      <w:r>
        <w:t xml:space="preserve"> </w:t>
      </w:r>
      <w:r>
        <w:t xml:space="preserve">factory_gate</w:t>
      </w:r>
      <w:r>
        <w:t xml:space="preserve">, encompassing all stages from raw material acquisition, transport to manufacturing, and manufacturing processes up to the point the product leaves the factory gate. Additionally, downstream emissions from transport to customer, product use, and end-of-life have been included to provide a comprehensive cradle-to-grave perspective, aligning with Scope 3 requirements.</w:t>
      </w:r>
    </w:p>
    <w:bookmarkEnd w:id="26"/>
    <w:bookmarkStart w:id="27" w:name="geographic-scope"/>
    <w:p>
      <w:pPr>
        <w:pStyle w:val="Heading3"/>
      </w:pPr>
      <w:r>
        <w:t xml:space="preserve">1.4.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p>
      <w:pPr>
        <w:pStyle w:val="FirstParagraph"/>
      </w:pPr>
      <w:r>
        <w:t xml:space="preserve">This geographic scope dictates the selection of region-specific emission factors for energy grids and transportation where available and applicable.</w:t>
      </w:r>
    </w:p>
    <w:bookmarkEnd w:id="27"/>
    <w:bookmarkStart w:id="28" w:name="allocation"/>
    <w:p>
      <w:pPr>
        <w:pStyle w:val="Heading3"/>
      </w:pPr>
      <w:r>
        <w:t xml:space="preserve">1.5. Allocation</w:t>
      </w:r>
    </w:p>
    <w:p>
      <w:pPr>
        <w:pStyle w:val="FirstParagraph"/>
      </w:pPr>
      <w:r>
        <w:t xml:space="preserve">Allocation of emissions for co-products or multi-functional processes is based on physical allocation (e.g., mass, energy content) where feasible and financially-based allocation where physical relationships are not appropriate or data is limited. For the functional unit, all relevant emissions are allocated directly.</w:t>
      </w:r>
    </w:p>
    <w:bookmarkEnd w:id="28"/>
    <w:bookmarkEnd w:id="29"/>
    <w:p>
      <w:r>
        <w:pict>
          <v:rect style="width:0;height:1.5pt" o:hralign="center" o:hrstd="t" o:hr="t"/>
        </w:pict>
      </w:r>
    </w:p>
    <w:bookmarkStart w:id="30" w:name="lifecycle-mapping-lci-inventory-stages"/>
    <w:p>
      <w:pPr>
        <w:pStyle w:val="Heading2"/>
      </w:pPr>
      <w:r>
        <w:t xml:space="preserve">2. Lifecycle Mapping (LCI Inventory Stages)</w:t>
      </w:r>
    </w:p>
    <w:p>
      <w:pPr>
        <w:pStyle w:val="FirstParagraph"/>
      </w:pPr>
      <w:r>
        <w:t xml:space="preserve">The lifecycle of ekuklfgxhz has been mapped into the following stages as per the GHG Protocol Product Standard, to ensure all relevant emission sources are captured:</w:t>
      </w:r>
    </w:p>
    <w:p>
      <w:pPr>
        <w:numPr>
          <w:ilvl w:val="0"/>
          <w:numId w:val="1002"/>
        </w:numPr>
        <w:pStyle w:val="Compact"/>
      </w:pPr>
      <w:r>
        <w:rPr>
          <w:bCs/>
          <w:b/>
        </w:rPr>
        <w:t xml:space="preserve">Raw Material Acquisition and Pre-processing (Scope 3 - Upstream):</w:t>
      </w:r>
      <w:r>
        <w:t xml:space="preserve"> </w:t>
      </w:r>
      <w:r>
        <w:t xml:space="preserve">Extraction, processing, and refining of all materials used in the product and its packaging.</w:t>
      </w:r>
    </w:p>
    <w:p>
      <w:pPr>
        <w:numPr>
          <w:ilvl w:val="0"/>
          <w:numId w:val="1002"/>
        </w:numPr>
        <w:pStyle w:val="Compact"/>
      </w:pPr>
      <w:r>
        <w:rPr>
          <w:bCs/>
          <w:b/>
        </w:rPr>
        <w:t xml:space="preserve">Manufacturing (Scope 1, 2, &amp; 3 - Upstream):</w:t>
      </w:r>
      <w:r>
        <w:t xml:space="preserve"> </w:t>
      </w:r>
      <w:r>
        <w:t xml:space="preserve">Production processes at the factory, including energy consumption, and emissions from any direct processes.</w:t>
      </w:r>
    </w:p>
    <w:p>
      <w:pPr>
        <w:numPr>
          <w:ilvl w:val="0"/>
          <w:numId w:val="1002"/>
        </w:numPr>
        <w:pStyle w:val="Compact"/>
      </w:pPr>
      <w:r>
        <w:rPr>
          <w:bCs/>
          <w:b/>
        </w:rPr>
        <w:t xml:space="preserve">Transportation (Scope 3 - Upstream &amp; Downstream):</w:t>
      </w:r>
      <w:r>
        <w:t xml:space="preserve"> </w:t>
      </w:r>
      <w:r>
        <w:t xml:space="preserve">Movement of raw materials to the factory, and finished products to the customer, including last-mile delivery.</w:t>
      </w:r>
    </w:p>
    <w:p>
      <w:pPr>
        <w:numPr>
          <w:ilvl w:val="0"/>
          <w:numId w:val="1002"/>
        </w:numPr>
        <w:pStyle w:val="Compact"/>
      </w:pPr>
      <w:r>
        <w:rPr>
          <w:bCs/>
          <w:b/>
        </w:rPr>
        <w:t xml:space="preserve">Use Phase (Scope 3 - Downstream):</w:t>
      </w:r>
      <w:r>
        <w:t xml:space="preserve"> </w:t>
      </w:r>
      <w:r>
        <w:t xml:space="preserve">Energy consumption and other impacts during the product\'s active use by the consumer.</w:t>
      </w:r>
    </w:p>
    <w:p>
      <w:pPr>
        <w:numPr>
          <w:ilvl w:val="0"/>
          <w:numId w:val="1002"/>
        </w:numPr>
        <w:pStyle w:val="Compact"/>
      </w:pPr>
      <w:r>
        <w:rPr>
          <w:bCs/>
          <w:b/>
        </w:rPr>
        <w:t xml:space="preserve">End-of-Life Treatment (Scope 3 - Downstream):</w:t>
      </w:r>
      <w:r>
        <w:t xml:space="preserve"> </w:t>
      </w:r>
      <w:r>
        <w:t xml:space="preserve">Disposal, recycling, or recovery of the product and its packaging at the end of its lifespan.</w:t>
      </w:r>
    </w:p>
    <w:bookmarkEnd w:id="30"/>
    <w:p>
      <w:r>
        <w:pict>
          <v:rect style="width:0;height:1.5pt" o:hralign="center" o:hrstd="t" o:hr="t"/>
        </w:pict>
      </w:r>
    </w:p>
    <w:bookmarkStart w:id="37" w:name="X7b6d01ce7b6bfe45f00681616505557cddf238f"/>
    <w:p>
      <w:pPr>
        <w:pStyle w:val="Heading2"/>
      </w:pPr>
      <w:r>
        <w:t xml:space="preserve">3. Data Collection (Primary/Secondary Data Points)</w:t>
      </w:r>
    </w:p>
    <w:p>
      <w:pPr>
        <w:pStyle w:val="FirstParagraph"/>
      </w:pPr>
      <w:r>
        <w:t xml:space="preserve">Data collection involved a combination of primary data (provided parameters) and secondary data (industry-standard emission factors from reputable databases like Ecoinvent/DEFRA, with specific citations where applicable).</w:t>
      </w:r>
    </w:p>
    <w:bookmarkStart w:id="31" w:name="X0dbc56fab306156eac7f2d3e435b70a0d2fcca6"/>
    <w:p>
      <w:pPr>
        <w:pStyle w:val="Heading3"/>
      </w:pPr>
      <w:r>
        <w:t xml:space="preserve">3.1. Detailed Bill of Materials (BOM) for ekuklfgxhz</w:t>
      </w:r>
    </w:p>
    <w:p>
      <w:pPr>
        <w:pStyle w:val="FirstParagraph"/>
      </w:pPr>
      <w:r>
        <w:t xml:space="preserve">The following Bill of Materials (</w:t>
      </w:r>
      <w:r>
        <w:t xml:space="preserve">yxeltrdq</w:t>
      </w:r>
      <w:r>
        <w:t xml:space="preserve">) was used for high-accuracy material impact calculation. Note: The provided \'Total Carbon\' values per item are directly incorporated into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SMT</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Plastic Connectors</w:t>
            </w:r>
          </w:p>
        </w:tc>
        <w:tc>
          <w:tcPr/>
          <w:p>
            <w:pPr>
              <w:pStyle w:val="Compact"/>
              <w:jc w:val="left"/>
            </w:pPr>
            <w:r>
              <w:t xml:space="preserve">Polymer</w:t>
            </w:r>
          </w:p>
        </w:tc>
        <w:tc>
          <w:tcPr/>
          <w:p>
            <w:pPr>
              <w:pStyle w:val="Compact"/>
              <w:jc w:val="left"/>
            </w:pPr>
            <w:r>
              <w:t xml:space="preserve">Injection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bookmarkEnd w:id="31"/>
    <w:bookmarkStart w:id="32" w:name="energy-inputs-for-production-phase"/>
    <w:p>
      <w:pPr>
        <w:pStyle w:val="Heading3"/>
      </w:pPr>
      <w:r>
        <w:t xml:space="preserve">3.2. Energy Inputs for Production Phase</w:t>
      </w:r>
    </w:p>
    <w:p>
      <w:pPr>
        <w:numPr>
          <w:ilvl w:val="0"/>
          <w:numId w:val="1003"/>
        </w:numPr>
        <w:pStyle w:val="Compact"/>
      </w:pPr>
      <w:r>
        <w:t xml:space="preserve">Renewable Energy Usage: wigovtvunp</w:t>
      </w:r>
      <w:r>
        <w:t xml:space="preserve"> </w:t>
      </w:r>
      <w:r>
        <w:t xml:space="preserve">(Assumed: 75%)</w:t>
      </w:r>
    </w:p>
    <w:p>
      <w:pPr>
        <w:numPr>
          <w:ilvl w:val="0"/>
          <w:numId w:val="1003"/>
        </w:numPr>
        <w:pStyle w:val="Compact"/>
      </w:pPr>
      <w:r>
        <w:t xml:space="preserve">Energy Intensity (kWh/unit): wshghednhu</w:t>
      </w:r>
      <w:r>
        <w:t xml:space="preserve"> </w:t>
      </w:r>
      <w:r>
        <w:t xml:space="preserve">(Assumed: 12.5 kWh/unit)</w:t>
      </w:r>
    </w:p>
    <w:bookmarkEnd w:id="32"/>
    <w:bookmarkStart w:id="33" w:name="logistics-data"/>
    <w:p>
      <w:pPr>
        <w:pStyle w:val="Heading3"/>
      </w:pPr>
      <w:r>
        <w:t xml:space="preserve">3.3. Logistics Data</w:t>
      </w:r>
    </w:p>
    <w:p>
      <w:pPr>
        <w:numPr>
          <w:ilvl w:val="0"/>
          <w:numId w:val="1004"/>
        </w:numPr>
        <w:pStyle w:val="Compact"/>
      </w:pPr>
      <w:r>
        <w:t xml:space="preserve">Transport Mode: Select Mode</w:t>
      </w:r>
      <w:r>
        <w:t xml:space="preserve"> </w:t>
      </w:r>
      <w:r>
        <w:t xml:space="preserve">(Assumed: Road Freight)</w:t>
      </w:r>
    </w:p>
    <w:p>
      <w:pPr>
        <w:numPr>
          <w:ilvl w:val="0"/>
          <w:numId w:val="1004"/>
        </w:numPr>
        <w:pStyle w:val="Compact"/>
      </w:pPr>
      <w:r>
        <w:t xml:space="preserve">Transport Distance: pwxoklgwgs</w:t>
      </w:r>
      <w:r>
        <w:t xml:space="preserve"> </w:t>
      </w:r>
      <w:r>
        <w:t xml:space="preserve">(Assumed: 2500 km)</w:t>
      </w:r>
    </w:p>
    <w:p>
      <w:pPr>
        <w:numPr>
          <w:ilvl w:val="0"/>
          <w:numId w:val="1004"/>
        </w:numPr>
        <w:pStyle w:val="Compact"/>
      </w:pPr>
      <w:r>
        <w:t xml:space="preserve">Last-Mile Delivery Channel: Delivery Type</w:t>
      </w:r>
      <w:r>
        <w:t xml:space="preserve"> </w:t>
      </w:r>
      <w:r>
        <w:t xml:space="preserve">(Descriptive placeholder, integrated into general transport for calculation)</w:t>
      </w:r>
    </w:p>
    <w:bookmarkEnd w:id="33"/>
    <w:bookmarkStart w:id="34" w:name="use-phase-data"/>
    <w:p>
      <w:pPr>
        <w:pStyle w:val="Heading3"/>
      </w:pPr>
      <w:r>
        <w:t xml:space="preserve">3.4. Use Phase Data</w:t>
      </w:r>
    </w:p>
    <w:p>
      <w:pPr>
        <w:numPr>
          <w:ilvl w:val="0"/>
          <w:numId w:val="1005"/>
        </w:numPr>
        <w:pStyle w:val="Compact"/>
      </w:pPr>
      <w:r>
        <w:t xml:space="preserve">Product Lifespan: zqlohdlidx</w:t>
      </w:r>
      <w:r>
        <w:t xml:space="preserve"> </w:t>
      </w:r>
      <w:r>
        <w:t xml:space="preserve">(Assumed: 8 years)</w:t>
      </w:r>
    </w:p>
    <w:p>
      <w:pPr>
        <w:numPr>
          <w:ilvl w:val="0"/>
          <w:numId w:val="1005"/>
        </w:numPr>
        <w:pStyle w:val="Compact"/>
      </w:pPr>
      <w:r>
        <w:t xml:space="preserve">Energy Consumption in Use: lxxnopdtvx</w:t>
      </w:r>
      <w:r>
        <w:t xml:space="preserve"> </w:t>
      </w:r>
      <w:r>
        <w:t xml:space="preserve">(Assumed: 150 kWh/year)</w:t>
      </w:r>
    </w:p>
    <w:bookmarkEnd w:id="34"/>
    <w:bookmarkStart w:id="35" w:name="end-of-life-eol-data"/>
    <w:p>
      <w:pPr>
        <w:pStyle w:val="Heading3"/>
      </w:pPr>
      <w:r>
        <w:t xml:space="preserve">3.5. End-of-Life (EoL) Data</w:t>
      </w:r>
    </w:p>
    <w:p>
      <w:pPr>
        <w:numPr>
          <w:ilvl w:val="0"/>
          <w:numId w:val="1006"/>
        </w:numPr>
        <w:pStyle w:val="Compact"/>
      </w:pPr>
      <w:r>
        <w:t xml:space="preserve">Recyclability Percentage: jrwhwzjevj</w:t>
      </w:r>
      <w:r>
        <w:t xml:space="preserve"> </w:t>
      </w:r>
      <w:r>
        <w:t xml:space="preserve">(Assumed: 60%)</w:t>
      </w:r>
    </w:p>
    <w:p>
      <w:pPr>
        <w:numPr>
          <w:ilvl w:val="0"/>
          <w:numId w:val="1006"/>
        </w:numPr>
        <w:pStyle w:val="Compact"/>
      </w:pPr>
      <w:r>
        <w:t xml:space="preserve">Circular/Take-back Programs: hjnzthwukw</w:t>
      </w:r>
      <w:r>
        <w:t xml:space="preserve"> </w:t>
      </w:r>
      <w:r>
        <w:t xml:space="preserve">(Presence acknowledged for positive impact)</w:t>
      </w:r>
    </w:p>
    <w:bookmarkEnd w:id="35"/>
    <w:bookmarkStart w:id="36" w:name="Xf791118db644d2fef97b43a2e254a0fe70605f5"/>
    <w:p>
      <w:pPr>
        <w:pStyle w:val="Heading3"/>
      </w:pPr>
      <w:r>
        <w:t xml:space="preserve">3.6. Emission Factors Used (Assumptions for Calculation)</w:t>
      </w:r>
    </w:p>
    <w:p>
      <w:pPr>
        <w:pStyle w:val="FirstParagraph"/>
      </w:pPr>
      <w:r>
        <w:t xml:space="preserve">Where specific emission factors were not provided, industry-standard average values have been utilized for calculation purposes. These are explicitly stated below and should be replaced with primary data for higher accuracy if available:</w:t>
      </w:r>
    </w:p>
    <w:p>
      <w:pPr>
        <w:numPr>
          <w:ilvl w:val="0"/>
          <w:numId w:val="1007"/>
        </w:numPr>
        <w:pStyle w:val="Compact"/>
      </w:pPr>
      <w:r>
        <w:t xml:space="preserve">Road Freight Emission Factor:</w:t>
      </w:r>
      <w:r>
        <w:t xml:space="preserve"> </w:t>
      </w:r>
      <w:r>
        <w:t xml:space="preserve">0.09 kg CO2e/tkm (generic average for medium-heavy trucks)</w:t>
      </w:r>
    </w:p>
    <w:p>
      <w:pPr>
        <w:numPr>
          <w:ilvl w:val="0"/>
          <w:numId w:val="1007"/>
        </w:numPr>
        <w:pStyle w:val="Compact"/>
      </w:pPr>
      <w:r>
        <w:t xml:space="preserve">China Electricity Grid Emission Factor:</w:t>
      </w:r>
      <w:r>
        <w:t xml:space="preserve"> </w:t>
      </w:r>
      <w:r>
        <w:t xml:space="preserve">0.6205 kg CO2e/kWh (national average for 2023, for non-renewable portion)</w:t>
      </w:r>
    </w:p>
    <w:p>
      <w:pPr>
        <w:numPr>
          <w:ilvl w:val="0"/>
          <w:numId w:val="1007"/>
        </w:numPr>
        <w:pStyle w:val="Compact"/>
      </w:pPr>
      <w:r>
        <w:t xml:space="preserve">Europe Electricity Grid Emission Factor (Use Phase):</w:t>
      </w:r>
      <w:r>
        <w:t xml:space="preserve"> </w:t>
      </w:r>
      <w:r>
        <w:t xml:space="preserve">0.238 kg CO2e/kWh (EU average for 2019)</w:t>
      </w:r>
    </w:p>
    <w:p>
      <w:pPr>
        <w:numPr>
          <w:ilvl w:val="0"/>
          <w:numId w:val="1007"/>
        </w:numPr>
        <w:pStyle w:val="Compact"/>
      </w:pPr>
      <w:r>
        <w:t xml:space="preserve">Landfill Emission Factor (generic mixed waste):</w:t>
      </w:r>
      <w:r>
        <w:t xml:space="preserve"> </w:t>
      </w:r>
      <w:r>
        <w:t xml:space="preserve">0.5 kg CO2e/kg (for non-recycled components)</w:t>
      </w:r>
    </w:p>
    <w:p>
      <w:pPr>
        <w:numPr>
          <w:ilvl w:val="0"/>
          <w:numId w:val="1007"/>
        </w:numPr>
        <w:pStyle w:val="Compact"/>
      </w:pPr>
      <w:r>
        <w:t xml:space="preserve">Recycling Credit (avoided emissions):</w:t>
      </w:r>
      <w:r>
        <w:t xml:space="preserve"> </w:t>
      </w:r>
      <w:r>
        <w:t xml:space="preserve">-0.5 kg CO2e/kg (generic average credit for recycled materials, highly material-dependent)</w:t>
      </w:r>
    </w:p>
    <w:bookmarkEnd w:id="36"/>
    <w:bookmarkEnd w:id="37"/>
    <w:p>
      <w:r>
        <w:pict>
          <v:rect style="width:0;height:1.5pt" o:hralign="center" o:hrstd="t" o:hr="t"/>
        </w:pict>
      </w:r>
    </w:p>
    <w:bookmarkStart w:id="40" w:name="X439a6e6dcb43c636bf515ffaf3f59bce0bd6490"/>
    <w:p>
      <w:pPr>
        <w:pStyle w:val="Heading2"/>
      </w:pPr>
      <w:r>
        <w:t xml:space="preserve">4. Emission Calculation (Activity * Emission Factor = CO2e)</w:t>
      </w:r>
    </w:p>
    <w:p>
      <w:pPr>
        <w:pStyle w:val="FirstParagraph"/>
      </w:pPr>
      <w:r>
        <w:t xml:space="preserve">1, "Description" =&gt; "Aluminum Casing", "Category" =&gt; "Metal", "Process" =&gt; "Casting", "Qty" =&gt; 0.5, "Unit" =&gt; "kg", "Emission Factor" =&gt; 12.0, "Total Carbon" =&gt; 6.0],</w:t>
      </w:r>
      <w:r>
        <w:t xml:space="preserve"> </w:t>
      </w:r>
      <w:r>
        <w:t xml:space="preserve">["ID" =&gt; 2, "Description" =&gt; "Circuit Board", "Category" =&gt; "Electronics", "Process" =&gt; "SMT", "Qty" =&gt; 0.1, "Unit" =&gt; "kg", "Emission Factor" =&gt; 8.0, "Total Carbon" =&gt; 0.8],</w:t>
      </w:r>
      <w:r>
        <w:t xml:space="preserve"> </w:t>
      </w:r>
      <w:r>
        <w:t xml:space="preserve">["ID" =&gt; 3, "Description" =&gt; "Lithium-ion Battery", "Category" =&gt; "Chemical", "Process" =&gt; "Assembly", "Qty" =&gt; 0.2, "Unit" =&gt; "kg", "Emission Factor" =&gt; 25.0, "Total Carbon" =&gt; 5.0],</w:t>
      </w:r>
      <w:r>
        <w:t xml:space="preserve"> </w:t>
      </w:r>
      <w:r>
        <w:t xml:space="preserve">["ID" =&gt; 4, "Description" =&gt; "Plastic Connectors", "Category" =&gt; "Polymer", "Process" =&gt; "Injection", "Qty" =&gt; 0.05, "Unit" =&gt; "kg", "Emission Factor" =&gt; 3.0, "Total Carbon" =&gt; 0.15],</w:t>
      </w:r>
      <w:r>
        <w:t xml:space="preserve"> </w:t>
      </w:r>
      <w:r>
        <w:t xml:space="preserve">["ID" =&gt; 5, "Description" =&gt; "Packaging (Cardboard)", "Category" =&gt; "Paper", "Process" =&gt; "Cutting", "Qty" =&gt; 0.1, "Unit" =&gt; "kg", "Emission Factor" =&gt; 1.5, "Total Carbon" =&gt; 0.15],</w:t>
      </w:r>
      <w:r>
        <w:t xml:space="preserve"> </w:t>
      </w:r>
      <w:r>
        <w:t xml:space="preserve">];</w:t>
      </w:r>
      <w:r>
        <w:t xml:space="preserve"> </w:t>
      </w:r>
      <w:r>
        <w:t xml:space="preserve">// Parameters (parsed from provided strings, with assumed numerical values for calculation)</w:t>
      </w:r>
      <w:r>
        <w:t xml:space="preserve"> </w:t>
      </w:r>
      <w:r>
        <w:t xml:space="preserve">$transport_distance_km = 2500; // From pwxoklgwgs</w:t>
      </w:r>
      <w:r>
        <w:t xml:space="preserve"> </w:t>
      </w:r>
      <w:r>
        <w:t xml:space="preserve">$renewable_energy_usage_percent = 0.75; // From wigovtvunp (75%)</w:t>
      </w:r>
      <w:r>
        <w:t xml:space="preserve"> </w:t>
      </w:r>
      <w:r>
        <w:t xml:space="preserve">$energy_intensity_kwh_per_unit = 12.5; // From wshghednhu</w:t>
      </w:r>
      <w:r>
        <w:t xml:space="preserve"> </w:t>
      </w:r>
      <w:r>
        <w:t xml:space="preserve">$product_lifespan_years = 8; // From zqlohdlidx</w:t>
      </w:r>
      <w:r>
        <w:t xml:space="preserve"> </w:t>
      </w:r>
      <w:r>
        <w:t xml:space="preserve">$energy_consumption_in_use_kwh_per_year = 150; // From lxxnopdtvx</w:t>
      </w:r>
      <w:r>
        <w:t xml:space="preserve"> </w:t>
      </w:r>
      <w:r>
        <w:t xml:space="preserve">$recyclability_percent = 0.60; // From jrwhwzjevj (60%)</w:t>
      </w:r>
      <w:r>
        <w:t xml:space="preserve"> </w:t>
      </w:r>
      <w:r>
        <w:t xml:space="preserve">// Emission Factors (as assumed)</w:t>
      </w:r>
      <w:r>
        <w:t xml:space="preserve"> </w:t>
      </w:r>
      <w:r>
        <w:t xml:space="preserve">$road_freight_ef_kg_co2e_per_tkm = 0.09;</w:t>
      </w:r>
      <w:r>
        <w:t xml:space="preserve"> </w:t>
      </w:r>
      <w:r>
        <w:t xml:space="preserve">$china_grid_ef_kg_co2e_per_kwh = 0.6205; //</w:t>
      </w:r>
      <w:r>
        <w:t xml:space="preserve"> </w:t>
      </w:r>
      <w:r>
        <w:t xml:space="preserve">$europe_grid_ef_kg_co2e_per_kwh = 0.238; //</w:t>
      </w:r>
      <w:r>
        <w:t xml:space="preserve"> </w:t>
      </w:r>
      <w:r>
        <w:t xml:space="preserve">$landfill_ef_kg_co2e_per_kg = 0.5;</w:t>
      </w:r>
      <w:r>
        <w:t xml:space="preserve"> </w:t>
      </w:r>
      <w:r>
        <w:t xml:space="preserve">$recycling_credit_ef_kg_co2e_per_kg = -0.5; // Negative for credit</w:t>
      </w:r>
      <w:r>
        <w:t xml:space="preserve"> </w:t>
      </w:r>
      <w:r>
        <w:t xml:space="preserve">// --- Calculations ---</w:t>
      </w:r>
      <w:r>
        <w:t xml:space="preserve"> </w:t>
      </w:r>
      <w:r>
        <w:t xml:space="preserve">// 1. Raw Materials &amp; Manufacturing (Scope 3 - Upstream)</w:t>
      </w:r>
      <w:r>
        <w:t xml:space="preserve"> </w:t>
      </w:r>
      <w:r>
        <w:t xml:space="preserve">$emissions_materials = 0;</w:t>
      </w:r>
      <w:r>
        <w:t xml:space="preserve"> </w:t>
      </w:r>
      <w:r>
        <w:t xml:space="preserve">$total_product_weight_kg = 0;</w:t>
      </w:r>
      <w:r>
        <w:t xml:space="preserve"> </w:t>
      </w:r>
      <w:r>
        <w:t xml:space="preserve">foreach ($bom_data_parsed as $item) {</w:t>
      </w:r>
      <w:r>
        <w:t xml:space="preserve"> </w:t>
      </w:r>
      <w:r>
        <w:t xml:space="preserve">$emissions_materials += $item["Total Carbon"];</w:t>
      </w:r>
      <w:r>
        <w:t xml:space="preserve"> </w:t>
      </w:r>
      <w:r>
        <w:t xml:space="preserve">if ($item["Unit"] == "kg") {</w:t>
      </w:r>
      <w:r>
        <w:t xml:space="preserve"> </w:t>
      </w:r>
      <w:r>
        <w:t xml:space="preserve">$total_product_weight_kg += $item["Qty"];</w:t>
      </w:r>
      <w:r>
        <w:t xml:space="preserve"> </w:t>
      </w:r>
      <w:r>
        <w:t xml:space="preserve">} else {</w:t>
      </w:r>
      <w:r>
        <w:t xml:space="preserve"> </w:t>
      </w:r>
      <w:r>
        <w:t xml:space="preserve">// Assuming other units are negligible or converted to kg if needed for EoL weight</w:t>
      </w:r>
      <w:r>
        <w:t xml:space="preserve"> </w:t>
      </w:r>
      <w:r>
        <w:t xml:space="preserve">// For simplicity, just sum kg for now. If other units are significant, conversion logic is needed.</w:t>
      </w:r>
      <w:r>
        <w:t xml:space="preserve"> </w:t>
      </w:r>
      <w:r>
        <w:t xml:space="preserve">}</w:t>
      </w:r>
      <w:r>
        <w:t xml:space="preserve"> </w:t>
      </w:r>
      <w:r>
        <w:t xml:space="preserve">}</w:t>
      </w:r>
      <w:r>
        <w:t xml:space="preserve"> </w:t>
      </w:r>
      <w:r>
        <w:t xml:space="preserve">$total_product_weight_kg = array_sum(array_column($bom_data_parsed, \'Qty\')); // Assuming all Qty are in kg for total weight.</w:t>
      </w:r>
      <w:r>
        <w:t xml:space="preserve"> </w:t>
      </w:r>
      <w:r>
        <w:t xml:space="preserve">// 2. Transport (Scope 3 - Upstream &amp; Downstream)</w:t>
      </w:r>
      <w:r>
        <w:t xml:space="preserve"> </w:t>
      </w:r>
      <w:r>
        <w:t xml:space="preserve">// Assuming transport of materials to factory and finished product to customer.</w:t>
      </w:r>
      <w:r>
        <w:t xml:space="preserve"> </w:t>
      </w:r>
      <w:r>
        <w:t xml:space="preserve">// For simplicity, total_product_weight_kg is used for transport of finished goods.</w:t>
      </w:r>
      <w:r>
        <w:t xml:space="preserve"> </w:t>
      </w:r>
      <w:r>
        <w:t xml:space="preserve">// Upstream transport of individual BOM items is embedded in their Total Carbon.</w:t>
      </w:r>
      <w:r>
        <w:t xml:space="preserve"> </w:t>
      </w:r>
      <w:r>
        <w:t xml:space="preserve">// This \'Transport\' calculation specifically addresses downstream transport of the final product.</w:t>
      </w:r>
      <w:r>
        <w:t xml:space="preserve"> </w:t>
      </w:r>
      <w:r>
        <w:t xml:space="preserve">$emissions_transport = $total_product_weight_kg * $transport_distance_km * $road_freight_ef_kg_co2e_per_tkm;</w:t>
      </w:r>
      <w:r>
        <w:t xml:space="preserve"> </w:t>
      </w:r>
      <w:r>
        <w:t xml:space="preserve">// 3. Production Phase (Scope 2 - Purchased Electricity)</w:t>
      </w:r>
      <w:r>
        <w:t xml:space="preserve"> </w:t>
      </w:r>
      <w:r>
        <w:t xml:space="preserve">$non_renewable_electricity_kwh = $energy_intensity_kwh_per_unit * (1 - $renewable_energy_usage_percent);</w:t>
      </w:r>
      <w:r>
        <w:t xml:space="preserve"> </w:t>
      </w:r>
      <w:r>
        <w:t xml:space="preserve">$emissions_production = $non_renewable_electricity_kwh * $china_grid_ef_kg_co2e_per_kwh;</w:t>
      </w:r>
      <w:r>
        <w:t xml:space="preserve"> </w:t>
      </w:r>
      <w:r>
        <w:t xml:space="preserve">// 4. Use Phase (Scope 3 - Downstream)</w:t>
      </w:r>
      <w:r>
        <w:t xml:space="preserve"> </w:t>
      </w:r>
      <w:r>
        <w:t xml:space="preserve">$total_energy_consumption_use_phase_kwh = $energy_consumption_in_use_kwh_per_year * $product_lifespan_years;</w:t>
      </w:r>
      <w:r>
        <w:t xml:space="preserve"> </w:t>
      </w:r>
      <w:r>
        <w:t xml:space="preserve">$emissions_use_phase = $total_energy_consumption_use_phase_kwh * $europe_grid_ef_kg_co2e_per_kwh;</w:t>
      </w:r>
      <w:r>
        <w:t xml:space="preserve"> </w:t>
      </w:r>
      <w:r>
        <w:t xml:space="preserve">// 5. End-of-Life (EoL) (Scope 3 - Downstream)</w:t>
      </w:r>
      <w:r>
        <w:t xml:space="preserve"> </w:t>
      </w:r>
      <w:r>
        <w:t xml:space="preserve">$recycled_portion_weight_kg = $total_product_weight_kg * $recyclability_percent;</w:t>
      </w:r>
      <w:r>
        <w:t xml:space="preserve"> </w:t>
      </w:r>
      <w:r>
        <w:t xml:space="preserve">$landfilled_portion_weight_kg = $total_product_weight_kg * (1 - $recyclability_percent);</w:t>
      </w:r>
      <w:r>
        <w:t xml:space="preserve"> </w:t>
      </w:r>
      <w:r>
        <w:t xml:space="preserve">$emissions_eol = ($landfilled_portion_weight_kg * $landfill_ef_kg_co2e_per_kg) + ($recycled_portion_weight_kg * $recycling_credit_ef_kg_co2e_per_kg);</w:t>
      </w:r>
      <w:r>
        <w:t xml:space="preserve"> </w:t>
      </w:r>
      <w:r>
        <w:t xml:space="preserve">// Total PCF</w:t>
      </w:r>
      <w:r>
        <w:t xml:space="preserve"> </w:t>
      </w:r>
      <w:r>
        <w:t xml:space="preserve">$total_pcf = $emissions_materials + $emissions_transport + $emissions_production + $emissions_use_phase + $emissions_eol;</w:t>
      </w:r>
      <w:r>
        <w:t xml:space="preserve"> </w:t>
      </w:r>
      <w:r>
        <w:t xml:space="preserve">?&gt;</w:t>
      </w:r>
    </w:p>
    <w:bookmarkStart w:id="38" w:name="calculated-emissions-by-lifecycle-stage"/>
    <w:p>
      <w:pPr>
        <w:pStyle w:val="Heading3"/>
      </w:pPr>
      <w:r>
        <w:t xml:space="preserve">4.1. Calculated Emissions by Lifecycle Stage</w:t>
      </w:r>
    </w:p>
    <w:tbl>
      <w:tblPr>
        <w:tblStyle w:val="Table"/>
        <w:tblW w:type="pct" w:w="500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Emissions (kg CO2e)</w:t>
            </w:r>
          </w:p>
        </w:tc>
      </w:tr>
      <w:tr>
        <w:tc>
          <w:tcPr/>
          <w:p>
            <w:pPr>
              <w:pStyle w:val="Compact"/>
              <w:jc w:val="left"/>
            </w:pPr>
            <w:r>
              <w:t xml:space="preserve">Raw Materials &amp; Pre-processing</w:t>
            </w:r>
          </w:p>
        </w:tc>
        <w:tc>
          <w:tcPr/>
          <w:p>
            <w:pPr>
              <w:pStyle w:val="Compact"/>
              <w:jc w:val="left"/>
            </w:pPr>
            <w:r>
              <w:t xml:space="preserve">Scope 3 (Upstream)</w:t>
            </w:r>
          </w:p>
        </w:tc>
        <w:tc>
          <w:tcPr/>
          <w:p>
            <w:pPr>
              <w:pStyle w:val="Compact"/>
              <w:jc w:val="left"/>
            </w:pPr>
            <w:r>
              <w:t xml:space="preserve">As per BOM (Sum of \'Total Carbon\' for each item)</w:t>
            </w:r>
          </w:p>
        </w:tc>
        <w:tc>
          <w:tcPr/>
          <w:p>
            <w:pPr>
              <w:pStyle w:val="Compact"/>
              <w:jc w:val="left"/>
            </w:pPr>
            <w:r>
              <w:t xml:space="preserve">Item-specific</w:t>
            </w:r>
          </w:p>
        </w:tc>
        <w:tc>
          <w:tcPr/>
          <w:p>
            <w:pPr>
              <w:pStyle w:val="Compact"/>
            </w:pPr>
          </w:p>
        </w:tc>
      </w:tr>
      <w:tr>
        <w:tc>
          <w:tcPr/>
          <w:p>
            <w:pPr>
              <w:pStyle w:val="Compact"/>
              <w:jc w:val="left"/>
            </w:pPr>
            <w:r>
              <w:t xml:space="preserve">Transport (Downstream, Product Delivery)</w:t>
            </w:r>
          </w:p>
        </w:tc>
        <w:tc>
          <w:tcPr/>
          <w:p>
            <w:pPr>
              <w:pStyle w:val="Compact"/>
              <w:jc w:val="left"/>
            </w:pPr>
            <w:r>
              <w:t xml:space="preserve">Scope 3 (Upstream &amp; Downstream)</w:t>
            </w:r>
          </w:p>
        </w:tc>
        <w:tc>
          <w:tcPr/>
          <w:p>
            <w:pPr>
              <w:pStyle w:val="Compact"/>
              <w:jc w:val="left"/>
            </w:pPr>
            <w:r>
              <w:t xml:space="preserve">Product Weight:</w:t>
            </w:r>
          </w:p>
          <w:p>
            <w:pPr>
              <w:pStyle w:val="Compact"/>
              <w:jc w:val="left"/>
            </w:pPr>
            <w:r>
              <w:t xml:space="preserve">kg, Distance:</w:t>
            </w:r>
          </w:p>
          <w:p>
            <w:pPr>
              <w:pStyle w:val="Compact"/>
              <w:jc w:val="left"/>
            </w:pPr>
            <w:r>
              <w:t xml:space="preserve">km</w:t>
            </w:r>
          </w:p>
        </w:tc>
        <w:tc>
          <w:tcPr/>
          <w:p>
            <w:pPr>
              <w:pStyle w:val="Compact"/>
              <w:jc w:val="left"/>
            </w:pPr>
            <w:r>
              <w:t xml:space="preserve">kg CO2e/tkm</w:t>
            </w:r>
          </w:p>
        </w:tc>
        <w:tc>
          <w:tcPr/>
          <w:p>
            <w:pPr>
              <w:pStyle w:val="Compact"/>
            </w:pP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Energy Intensity:</w:t>
            </w:r>
          </w:p>
          <w:p>
            <w:pPr>
              <w:pStyle w:val="Compact"/>
              <w:jc w:val="left"/>
            </w:pPr>
            <w:r>
              <w:t xml:space="preserve">kWh/unit, Non-renewable:</w:t>
            </w:r>
          </w:p>
          <w:p>
            <w:pPr>
              <w:pStyle w:val="Compact"/>
              <w:jc w:val="left"/>
            </w:pPr>
            <w:r>
              <w:t xml:space="preserve">kWh</w:t>
            </w:r>
          </w:p>
        </w:tc>
        <w:tc>
          <w:tcPr/>
          <w:p>
            <w:pPr>
              <w:pStyle w:val="Compact"/>
              <w:jc w:val="left"/>
            </w:pPr>
            <w:r>
              <w:t xml:space="preserve">kg CO2e/kWh (China Grid)</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Lifespan:</w:t>
            </w:r>
          </w:p>
          <w:p>
            <w:pPr>
              <w:pStyle w:val="Compact"/>
              <w:jc w:val="left"/>
            </w:pPr>
            <w:r>
              <w:t xml:space="preserve">years, Energy in Use:</w:t>
            </w:r>
          </w:p>
          <w:p>
            <w:pPr>
              <w:pStyle w:val="Compact"/>
              <w:jc w:val="left"/>
            </w:pPr>
            <w:r>
              <w:t xml:space="preserve">kWh/year</w:t>
            </w:r>
          </w:p>
        </w:tc>
        <w:tc>
          <w:tcPr/>
          <w:p>
            <w:pPr>
              <w:pStyle w:val="Compact"/>
              <w:jc w:val="left"/>
            </w:pPr>
            <w:r>
              <w:t xml:space="preserve">kg CO2e/kWh (Europe Grid)</w:t>
            </w:r>
          </w:p>
        </w:tc>
        <w:tc>
          <w:tcPr/>
          <w:p>
            <w:pPr>
              <w:pStyle w:val="Compact"/>
            </w:pP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Product Weight:</w:t>
            </w:r>
          </w:p>
          <w:p>
            <w:pPr>
              <w:pStyle w:val="Compact"/>
              <w:jc w:val="left"/>
            </w:pPr>
            <w:r>
              <w:t xml:space="preserve">kg, Recyclability:</w:t>
            </w:r>
          </w:p>
          <w:p>
            <w:pPr>
              <w:pStyle w:val="Compact"/>
              <w:jc w:val="left"/>
            </w:pPr>
            <w:r>
              <w:t xml:space="preserve">%</w:t>
            </w:r>
          </w:p>
        </w:tc>
        <w:tc>
          <w:tcPr/>
          <w:p>
            <w:pPr>
              <w:pStyle w:val="Compact"/>
              <w:jc w:val="left"/>
            </w:pPr>
            <w:r>
              <w:t xml:space="preserve">Landfill EF:</w:t>
            </w:r>
          </w:p>
          <w:p>
            <w:pPr>
              <w:pStyle w:val="Compact"/>
              <w:jc w:val="left"/>
            </w:pPr>
            <w:r>
              <w:t xml:space="preserve">kg CO2e/kg, Recycling Credit:</w:t>
            </w:r>
          </w:p>
          <w:p>
            <w:pPr>
              <w:pStyle w:val="Compact"/>
              <w:jc w:val="left"/>
            </w:pPr>
            <w:r>
              <w:t xml:space="preserve">kg CO2e/kg</w:t>
            </w:r>
          </w:p>
        </w:tc>
        <w:tc>
          <w:tcPr/>
          <w:p>
            <w:pPr>
              <w:pStyle w:val="Compact"/>
            </w:pPr>
          </w:p>
        </w:tc>
      </w:tr>
      <w:tr>
        <w:tc>
          <w:tcPr>
            <w:gridSpan w:val="4"/>
          </w:tcPr>
          <w:p>
            <w:pPr>
              <w:pStyle w:val="Compact"/>
              <w:jc w:val="right"/>
            </w:pPr>
            <w:r>
              <w:rPr>
                <w:bCs/>
                <w:b/>
              </w:rPr>
              <w:t xml:space="preserve">Total Product Carbon Footprint (kg CO2e)</w:t>
            </w:r>
          </w:p>
        </w:tc>
        <w:tc>
          <w:tcPr/>
          <w:p>
            <w:pPr>
              <w:pStyle w:val="Compact"/>
            </w:pPr>
          </w:p>
        </w:tc>
      </w:tr>
    </w:tbl>
    <w:bookmarkEnd w:id="38"/>
    <w:bookmarkStart w:id="39" w:name="summary-of-ghg-emissions-by-scope"/>
    <w:p>
      <w:pPr>
        <w:pStyle w:val="Heading3"/>
      </w:pPr>
      <w:r>
        <w:t xml:space="preserve">4.2. Summary of GHG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pPr>
          </w:p>
        </w:tc>
        <w:tc>
          <w:tcPr/>
          <w:p>
            <w:pPr>
              <w:pStyle w:val="Compact"/>
              <w:jc w:val="left"/>
            </w:pPr>
            <w:r>
              <w:t xml:space="preserve">%</w:t>
            </w:r>
          </w:p>
        </w:tc>
      </w:tr>
      <w:tr>
        <w:tc>
          <w:tcPr/>
          <w:p>
            <w:pPr>
              <w:pStyle w:val="Compact"/>
              <w:jc w:val="left"/>
            </w:pPr>
            <w:r>
              <w:t xml:space="preserve">Scope 3 (Value Chain Emissions)</w:t>
            </w:r>
          </w:p>
        </w:tc>
        <w:tc>
          <w:tcPr/>
          <w:p>
            <w:pPr>
              <w:pStyle w:val="Compact"/>
            </w:pPr>
          </w:p>
        </w:tc>
        <w:tc>
          <w:tcPr/>
          <w:p>
            <w:pPr>
              <w:pStyle w:val="Compact"/>
              <w:jc w:val="left"/>
            </w:pPr>
            <w:r>
              <w:t xml:space="preserve">%</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100.00%</w:t>
            </w:r>
          </w:p>
        </w:tc>
      </w:tr>
    </w:tbl>
    <w:p>
      <w:pPr>
        <w:pStyle w:val="BodyText"/>
      </w:pPr>
      <w:r>
        <w:t xml:space="preserve">As per the 2026 requirements, Scope 3 emissions represent</w:t>
      </w:r>
      <w:r>
        <w:t xml:space="preserve"> </w:t>
      </w:r>
      <w:r>
        <w:t xml:space="preserve">%</w:t>
      </w:r>
      <w:r>
        <w:t xml:space="preserve"> </w:t>
      </w:r>
      <w:r>
        <w:t xml:space="preserve">of the total PCF, ensuring compliance with the &gt;95% coverage target.</w:t>
      </w:r>
    </w:p>
    <w:bookmarkEnd w:id="39"/>
    <w:bookmarkEnd w:id="40"/>
    <w:p>
      <w:r>
        <w:pict>
          <v:rect style="width:0;height:1.5pt" o:hralign="center" o:hrstd="t" o:hr="t"/>
        </w:pict>
      </w:r>
    </w:p>
    <w:bookmarkStart w:id="44" w:name="review-report-hotspots-and-reliability"/>
    <w:p>
      <w:pPr>
        <w:pStyle w:val="Heading2"/>
      </w:pPr>
      <w:r>
        <w:t xml:space="preserve">5. Review &amp; Report (Hotspots and Reliability)</w:t>
      </w:r>
    </w:p>
    <w:bookmarkStart w:id="41" w:name="key-findings-and-hotspots"/>
    <w:p>
      <w:pPr>
        <w:pStyle w:val="Heading3"/>
      </w:pPr>
      <w:r>
        <w:t xml:space="preserve">5.1. Key Findings and Hotspots</w:t>
      </w:r>
    </w:p>
    <w:p>
      <w:pPr>
        <w:pStyle w:val="FirstParagraph"/>
      </w:pPr>
      <w:r>
        <w:t xml:space="preserve">The analysis reveals the following key emission hotspots for ekuklfgxhz:</w:t>
      </w:r>
    </w:p>
    <w:p>
      <w:pPr>
        <w:numPr>
          <w:ilvl w:val="0"/>
          <w:numId w:val="1008"/>
        </w:numPr>
        <w:pStyle w:val="Compact"/>
      </w:pPr>
      <w:r>
        <w:rPr>
          <w:bCs/>
          <w:b/>
        </w:rPr>
        <w:t xml:space="preserve">Raw Materials:</w:t>
      </w:r>
      <w:r>
        <w:t xml:space="preserve"> </w:t>
      </w:r>
      <w:r>
        <w:t xml:space="preserve">The acquisition and processing of raw materials, particularly</w:t>
      </w:r>
      <w:r>
        <w:t xml:space="preserve"> </w:t>
      </w:r>
      <w:r>
        <w:t xml:space="preserve">Aluminum Casing</w:t>
      </w:r>
      <w:r>
        <w:t xml:space="preserve"> </w:t>
      </w:r>
      <w:r>
        <w:t xml:space="preserve">and</w:t>
      </w:r>
      <w:r>
        <w:t xml:space="preserve"> </w:t>
      </w:r>
      <w:r>
        <w:t xml:space="preserve">Lithium-ion Battery</w:t>
      </w:r>
      <w:r>
        <w:t xml:space="preserve">, contribute significantly to the overall footprint (</w:t>
      </w:r>
    </w:p>
    <w:p>
      <w:pPr>
        <w:numPr>
          <w:ilvl w:val="0"/>
          <w:numId w:val="1000"/>
        </w:numPr>
        <w:pStyle w:val="Compact"/>
      </w:pPr>
      <w:r>
        <w:t xml:space="preserve">kg CO2e). This highlights the importance of sustainable sourcing and material efficiency.</w:t>
      </w:r>
    </w:p>
    <w:p>
      <w:pPr>
        <w:numPr>
          <w:ilvl w:val="0"/>
          <w:numId w:val="1008"/>
        </w:numPr>
        <w:pStyle w:val="Compact"/>
      </w:pPr>
      <w:r>
        <w:rPr>
          <w:bCs/>
          <w:b/>
        </w:rPr>
        <w:t xml:space="preserve">Use Phase:</w:t>
      </w:r>
      <w:r>
        <w:t xml:space="preserve"> </w:t>
      </w:r>
      <w:r>
        <w:t xml:space="preserve">With an estimated</w:t>
      </w:r>
    </w:p>
    <w:p>
      <w:pPr>
        <w:numPr>
          <w:ilvl w:val="0"/>
          <w:numId w:val="1000"/>
        </w:numPr>
        <w:pStyle w:val="Compact"/>
      </w:pPr>
      <w:r>
        <w:t xml:space="preserve">kg CO2e, the energy consumption during the product\'s lifespan is a major contributor, influenced by the</w:t>
      </w:r>
      <w:r>
        <w:t xml:space="preserve"> </w:t>
      </w:r>
      <w:r>
        <w:t xml:space="preserve">product lifespan (zqlohdlidx)</w:t>
      </w:r>
      <w:r>
        <w:t xml:space="preserve"> </w:t>
      </w:r>
      <w:r>
        <w:t xml:space="preserve">and</w:t>
      </w:r>
      <w:r>
        <w:t xml:space="preserve"> </w:t>
      </w:r>
      <w:r>
        <w:t xml:space="preserve">energy consumption in use (lxxnopdtvx)</w:t>
      </w:r>
      <w:r>
        <w:t xml:space="preserve">.</w:t>
      </w:r>
    </w:p>
    <w:p>
      <w:pPr>
        <w:numPr>
          <w:ilvl w:val="0"/>
          <w:numId w:val="1008"/>
        </w:numPr>
        <w:pStyle w:val="Compact"/>
      </w:pPr>
      <w:r>
        <w:rPr>
          <w:bCs/>
          <w:b/>
        </w:rPr>
        <w:t xml:space="preserve">Transport:</w:t>
      </w:r>
      <w:r>
        <w:t xml:space="preserve"> </w:t>
      </w:r>
      <w:r>
        <w:t xml:space="preserve">Downstream transport of the final product contributes</w:t>
      </w:r>
    </w:p>
    <w:p>
      <w:pPr>
        <w:numPr>
          <w:ilvl w:val="0"/>
          <w:numId w:val="1000"/>
        </w:numPr>
        <w:pStyle w:val="Compact"/>
      </w:pPr>
      <w:r>
        <w:t xml:space="preserve">kg CO2e, reflecting the long distances involved in the supply chain between China and Europe.</w:t>
      </w:r>
    </w:p>
    <w:p>
      <w:pPr>
        <w:numPr>
          <w:ilvl w:val="0"/>
          <w:numId w:val="1008"/>
        </w:numPr>
        <w:pStyle w:val="Compact"/>
      </w:pPr>
      <w:r>
        <w:rPr>
          <w:bCs/>
          <w:b/>
        </w:rPr>
        <w:t xml:space="preserve">Production (Electricity):</w:t>
      </w:r>
      <w:r>
        <w:t xml:space="preserve"> </w:t>
      </w:r>
      <w:r>
        <w:t xml:space="preserve">While a high percentage of</w:t>
      </w:r>
      <w:r>
        <w:t xml:space="preserve"> </w:t>
      </w:r>
      <w:r>
        <w:t xml:space="preserve">renewable energy usage (wigovtvunp)</w:t>
      </w:r>
      <w:r>
        <w:t xml:space="preserve"> </w:t>
      </w:r>
      <w:r>
        <w:t xml:space="preserve">reduces this impact, the remaining non-renewable electricity still contributes</w:t>
      </w:r>
    </w:p>
    <w:p>
      <w:pPr>
        <w:numPr>
          <w:ilvl w:val="0"/>
          <w:numId w:val="1000"/>
        </w:numPr>
        <w:pStyle w:val="Compact"/>
      </w:pPr>
      <w:r>
        <w:t xml:space="preserve">kg CO2e due to the energy intensity of production processes.</w:t>
      </w:r>
    </w:p>
    <w:bookmarkEnd w:id="41"/>
    <w:bookmarkStart w:id="42" w:name="data-reliability-and-limitations"/>
    <w:p>
      <w:pPr>
        <w:pStyle w:val="Heading3"/>
      </w:pPr>
      <w:r>
        <w:t xml:space="preserve">5.2. Data Reliability and Limitations</w:t>
      </w:r>
    </w:p>
    <w:p>
      <w:pPr>
        <w:pStyle w:val="FirstParagraph"/>
      </w:pPr>
      <w:r>
        <w:t xml:space="preserve">The reliability of this PCF is high for stages where specific primary data was provided (e.g., BOM \'Total Carbon\' values). For other stages, calculations rely on industry-average emission factors, which introduce some uncertainty. The use of generic emission factors for transport, landfill, and recycling credits means these values represent typical impacts and may not fully reflect specific operational efficiencies or regional nuances of</w:t>
      </w:r>
      <w:r>
        <w:t xml:space="preserve"> </w:t>
      </w:r>
      <w:r>
        <w:t xml:space="preserve">hynsyodnwt</w:t>
      </w:r>
      <w:r>
        <w:t xml:space="preserve">\'s actual supply chain or waste management practices. The exact nature of "Select Mode" transport and "Delivery Type" last-mile delivery requires further specification for more precise analysis.</w:t>
      </w:r>
    </w:p>
    <w:bookmarkEnd w:id="42"/>
    <w:bookmarkStart w:id="43" w:name="recommendations-for-emission-reduction"/>
    <w:p>
      <w:pPr>
        <w:pStyle w:val="Heading3"/>
      </w:pPr>
      <w:r>
        <w:t xml:space="preserve">5.3. Recommendations for Emission Reduction</w:t>
      </w:r>
    </w:p>
    <w:p>
      <w:pPr>
        <w:pStyle w:val="FirstParagraph"/>
      </w:pPr>
      <w:r>
        <w:t xml:space="preserve">Based on the identified hotspots, the following recommendations are made:</w:t>
      </w:r>
    </w:p>
    <w:p>
      <w:pPr>
        <w:numPr>
          <w:ilvl w:val="0"/>
          <w:numId w:val="1009"/>
        </w:numPr>
        <w:pStyle w:val="Compact"/>
      </w:pPr>
      <w:r>
        <w:rPr>
          <w:bCs/>
          <w:b/>
        </w:rPr>
        <w:t xml:space="preserve">Material Optimization:</w:t>
      </w:r>
      <w:r>
        <w:t xml:space="preserve"> </w:t>
      </w:r>
      <w:r>
        <w:t xml:space="preserve">Investigate opportunities for lighter-weight materials, recycled content, or alternative low-carbon materials for high-impact components like aluminum and batteries. Work with suppliers to source materials with lower embedded carbon.</w:t>
      </w:r>
    </w:p>
    <w:p>
      <w:pPr>
        <w:numPr>
          <w:ilvl w:val="0"/>
          <w:numId w:val="1009"/>
        </w:numPr>
        <w:pStyle w:val="Compact"/>
      </w:pPr>
      <w:r>
        <w:rPr>
          <w:bCs/>
          <w:b/>
        </w:rPr>
        <w:t xml:space="preserve">Energy Efficiency in Use:</w:t>
      </w:r>
      <w:r>
        <w:t xml:space="preserve"> </w:t>
      </w:r>
      <w:r>
        <w:t xml:space="preserve">Explore design improvements to reduce the</w:t>
      </w:r>
      <w:r>
        <w:t xml:space="preserve"> </w:t>
      </w:r>
      <w:r>
        <w:t xml:space="preserve">energy consumption in use (lxxnopdtvx)</w:t>
      </w:r>
      <w:r>
        <w:t xml:space="preserve"> </w:t>
      </w:r>
      <w:r>
        <w:t xml:space="preserve">of ekuklfgxhz during its</w:t>
      </w:r>
      <w:r>
        <w:t xml:space="preserve"> </w:t>
      </w:r>
      <w:r>
        <w:t xml:space="preserve">product lifespan (zqlohdlidx)</w:t>
      </w:r>
      <w:r>
        <w:t xml:space="preserve">. Educate consumers on energy-efficient usage.</w:t>
      </w:r>
    </w:p>
    <w:p>
      <w:pPr>
        <w:numPr>
          <w:ilvl w:val="0"/>
          <w:numId w:val="1009"/>
        </w:numPr>
        <w:pStyle w:val="Compact"/>
      </w:pPr>
      <w:r>
        <w:rPr>
          <w:bCs/>
          <w:b/>
        </w:rPr>
        <w:t xml:space="preserve">Logistics Optimization:</w:t>
      </w:r>
      <w:r>
        <w:t xml:space="preserve"> </w:t>
      </w:r>
      <w:r>
        <w:t xml:space="preserve">Optimize transport routes, consider switching to lower-emission transport modes (e.g., rail or sea where feasible for longer distances) for</w:t>
      </w:r>
      <w:r>
        <w:t xml:space="preserve"> </w:t>
      </w:r>
      <w:r>
        <w:t xml:space="preserve">Transport Mode: Select Mode</w:t>
      </w:r>
      <w:r>
        <w:t xml:space="preserve">, and consolidate shipments to reduce the impact of</w:t>
      </w:r>
      <w:r>
        <w:t xml:space="preserve"> </w:t>
      </w:r>
      <w:r>
        <w:t xml:space="preserve">Transport Distance: pwxoklgwgs</w:t>
      </w:r>
      <w:r>
        <w:t xml:space="preserve"> </w:t>
      </w:r>
      <w:r>
        <w:t xml:space="preserve">and</w:t>
      </w:r>
      <w:r>
        <w:t xml:space="preserve"> </w:t>
      </w:r>
      <w:r>
        <w:t xml:space="preserve">Last-Mile Delivery Channel: Delivery Type</w:t>
      </w:r>
      <w:r>
        <w:t xml:space="preserve">.</w:t>
      </w:r>
    </w:p>
    <w:p>
      <w:pPr>
        <w:numPr>
          <w:ilvl w:val="0"/>
          <w:numId w:val="1009"/>
        </w:numPr>
        <w:pStyle w:val="Compact"/>
      </w:pPr>
      <w:r>
        <w:rPr>
          <w:bCs/>
          <w:b/>
        </w:rPr>
        <w:t xml:space="preserve">Renewable Energy Expansion:</w:t>
      </w:r>
      <w:r>
        <w:t xml:space="preserve"> </w:t>
      </w:r>
      <w:r>
        <w:t xml:space="preserve">Further increase the share of</w:t>
      </w:r>
      <w:r>
        <w:t xml:space="preserve"> </w:t>
      </w:r>
      <w:r>
        <w:t xml:space="preserve">renewable energy usage (wigovtvunp)</w:t>
      </w:r>
      <w:r>
        <w:t xml:space="preserve"> </w:t>
      </w:r>
      <w:r>
        <w:t xml:space="preserve">at manufacturing facilities beyond the current 75% to minimize Scope 2 emissions. Explore purchasing renewable energy certificates or investing in onsite renewable generation.</w:t>
      </w:r>
    </w:p>
    <w:p>
      <w:pPr>
        <w:numPr>
          <w:ilvl w:val="0"/>
          <w:numId w:val="1009"/>
        </w:numPr>
        <w:pStyle w:val="Compact"/>
      </w:pPr>
      <w:r>
        <w:rPr>
          <w:bCs/>
          <w:b/>
        </w:rPr>
        <w:t xml:space="preserve">Circular Economy Initiatives:</w:t>
      </w:r>
      <w:r>
        <w:t xml:space="preserve"> </w:t>
      </w:r>
      <w:r>
        <w:t xml:space="preserve">Enhance the</w:t>
      </w:r>
      <w:r>
        <w:t xml:space="preserve"> </w:t>
      </w:r>
      <w:r>
        <w:t xml:space="preserve">recyclability percentage (jrwhwzjevj)</w:t>
      </w:r>
      <w:r>
        <w:t xml:space="preserve"> </w:t>
      </w:r>
      <w:r>
        <w:t xml:space="preserve">beyond 60% and strengthen</w:t>
      </w:r>
      <w:r>
        <w:t xml:space="preserve"> </w:t>
      </w:r>
      <w:r>
        <w:t xml:space="preserve">circular/take-back programs (hjnzthwukw)</w:t>
      </w:r>
      <w:r>
        <w:t xml:space="preserve"> </w:t>
      </w:r>
      <w:r>
        <w:t xml:space="preserve">to maximize material recovery and minimize end-of-life impacts. Collaborate with recycling partners to ensure efficient processing.</w:t>
      </w:r>
    </w:p>
    <w:bookmarkEnd w:id="43"/>
    <w:bookmarkEnd w:id="44"/>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ekuklfgxhz</dc:title>
  <dc:creator/>
  <dc:description>High-detail Product Carbon Footprint (PCF) analysis report for ekuklfgxhz, performed by udzivytidu, a Senior Sustainability Consultant for hynsyodnwt, adhering to GHG Protocol standards and 2026 LSR Update.</dc:description>
  <dc:language>en</dc:language>
  <cp:keywords/>
  <dcterms:created xsi:type="dcterms:W3CDTF">2026-07-15T02:59:34Z</dcterms:created>
  <dcterms:modified xsi:type="dcterms:W3CDTF">2026-07-15T02:59:34Z</dcterms:modified>
</cp:coreProperties>
</file>

<file path=docProps/custom.xml><?xml version="1.0" encoding="utf-8"?>
<Properties xmlns="http://schemas.openxmlformats.org/officeDocument/2006/custom-properties" xmlns:vt="http://schemas.openxmlformats.org/officeDocument/2006/docPropsVTypes"/>
</file>