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ekqqrpshxn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ekqqrpshxn</w:t>
      </w:r>
    </w:p>
    <w:p>
      <w:pPr>
        <w:pStyle w:val="BodyText"/>
      </w:pPr>
      <w:r>
        <w:rPr>
          <w:bCs/>
          <w:b/>
        </w:rPr>
        <w:t xml:space="preserve">Company Name:</w:t>
      </w:r>
      <w:r>
        <w:t xml:space="preserve"> </w:t>
      </w:r>
      <w:r>
        <w:t xml:space="preserve">uvexpuyskw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miirjtdmuf</w:t>
      </w:r>
    </w:p>
    <w:p>
      <w:pPr>
        <w:pStyle w:val="BodyText"/>
      </w:pPr>
      <w:r>
        <w:t xml:space="preserve">This report is generated based on available data and industry standards. While every effort has been made to ensure accuracy, the actual carbon footprint may vary based on specific operational details and evolving data.</w:t>
      </w:r>
    </w:p>
    <w:bookmarkEnd w:id="20"/>
    <w:bookmarkStart w:id="50" w:name="X67be61aa83d7891f36b29bd6b2f6fa004778fc2"/>
    <w:p>
      <w:pPr>
        <w:pStyle w:val="Heading1"/>
      </w:pPr>
      <w:r>
        <w:t xml:space="preserve">Product Carbon Footprint Report: ekqqrpshxn</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miirjtdmuf</w:t>
      </w:r>
    </w:p>
    <w:p>
      <w:pPr>
        <w:pStyle w:val="BodyText"/>
      </w:pPr>
      <w:r>
        <w:rPr>
          <w:bCs/>
          <w:b/>
        </w:rPr>
        <w:t xml:space="preserve">Company:</w:t>
      </w:r>
      <w:r>
        <w:t xml:space="preserve"> </w:t>
      </w:r>
      <w:r>
        <w:t xml:space="preserve">uvexpuyskw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ekqqrpshxn manufactured by uvexpuyskw. The analysis adheres strictly to the Greenhouse Gas (GHG) Protocol, including the latest 2026 Land Sector and Removals (LSR) Standard updates and a comprehensive Scope 3 coverage. The primary objective is to quantify the total greenhouse gas emissions associated with the product across its lifecycle, identify emission hotspots, and provide a foundational understanding for future decarbonization strategies. The PCF is calculated for a functional unit of 1.0 unit of ekqqrpshxn, considering a cradle-to-grave system boundary.</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ekqqrpshxn follows a structured, five-step methodology in accordance with the GHG Protocol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ekqqrpshxn</w:t>
      </w:r>
      <w:r>
        <w:t xml:space="preserve">.</w:t>
      </w:r>
    </w:p>
    <w:bookmarkEnd w:id="22"/>
    <w:bookmarkStart w:id="23"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cradle-to-grave</w:t>
      </w:r>
      <w:r>
        <w:t xml:space="preserve">, encompassing all stages from raw material acquisition, manufacturing, transportation, product use, and end-of-life treatment. While the specified "System Boundary" parameter was \'factory_gate\' for initial PCF calculation, the comprehensive analysis for a Senior Sustainability Consultant includes the full value chain to align with advanced GHG Protocol reporting requirements (e.g., Scope 3 coverage). Therefore, the reported PCF provides a \'cradle-to-gate\' value, with additional calculations for \'use phase\' and \'end-of-life\' to provide a full \'cradle-to-grave\' perspective for hotspot analysis and comprehensive reporting.</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(implies material sourcing or distribution for sales in Europe)</w:t>
      </w:r>
    </w:p>
    <w:p>
      <w:pPr>
        <w:numPr>
          <w:ilvl w:val="0"/>
          <w:numId w:val="1001"/>
        </w:numPr>
        <w:pStyle w:val="Compact"/>
      </w:pPr>
      <w:r>
        <w:rPr>
          <w:bCs/>
          <w:b/>
        </w:rPr>
        <w:t xml:space="preserve">Use Phase &amp; End-of-Life Geographic Assumption:</w:t>
      </w:r>
      <w:r>
        <w:t xml:space="preserve"> </w:t>
      </w:r>
      <w:r>
        <w:t xml:space="preserve">Europe (for electricity mix and waste management scenarios)</w:t>
      </w:r>
    </w:p>
    <w:bookmarkEnd w:id="24"/>
    <w:bookmarkStart w:id="25" w:name="allocation"/>
    <w:p>
      <w:pPr>
        <w:pStyle w:val="Heading3"/>
      </w:pPr>
      <w:r>
        <w:t xml:space="preserve">1.4. Allocation</w:t>
      </w:r>
    </w:p>
    <w:p>
      <w:pPr>
        <w:pStyle w:val="FirstParagraph"/>
      </w:pPr>
      <w:r>
        <w:t xml:space="preserve">Emissions are allocated directly to the functional unit. For any shared processes (e.g., transport of multiple products), a mass-based allocation approach is applied. For end-of-life, the "cut-off" approach is predominantly used, where the emissions up to the point of recycling are attributed to the product system, and any benefits from recycled material displacing virgin material are accounted for in the subsequent life cycle (outside this product\'s boundary) or specifically calculated as avoided emissions for the recyclable portion.</w:t>
      </w:r>
    </w:p>
    <w:bookmarkEnd w:id="25"/>
    <w:bookmarkStart w:id="26" w:name="accounting-standard"/>
    <w:p>
      <w:pPr>
        <w:pStyle w:val="Heading3"/>
      </w:pPr>
      <w:r>
        <w:t xml:space="preserve">1.5. Accounting Standard</w:t>
      </w:r>
    </w:p>
    <w:p>
      <w:pPr>
        <w:pStyle w:val="FirstParagraph"/>
      </w:pPr>
      <w:r>
        <w:t xml:space="preserve">This Product Carbon Footprint analysis adheres to the</w:t>
      </w:r>
      <w:r>
        <w:t xml:space="preserve"> </w:t>
      </w:r>
      <w:r>
        <w:rPr>
          <w:bCs/>
          <w:b/>
        </w:rPr>
        <w:t xml:space="preserve">GHG Protocol Product Life Cycle Accounting and Reporting Standard</w:t>
      </w:r>
      <w:r>
        <w:t xml:space="preserve">. It also incorporates aspects of the</w:t>
      </w:r>
      <w:r>
        <w:t xml:space="preserve"> </w:t>
      </w:r>
      <w:r>
        <w:rPr>
          <w:bCs/>
          <w:b/>
        </w:rPr>
        <w:t xml:space="preserve">GHG Protocol Corporate Standard</w:t>
      </w:r>
      <w:r>
        <w:t xml:space="preserve"> </w:t>
      </w:r>
      <w:r>
        <w:t xml:space="preserve">for organizational emission categorization.</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inputs and processes across the product\'s lifecycle, incorporating the provided parameters. Due to the placeholder nature of some input values (e.g.,</w:t>
      </w:r>
      <w:r>
        <w:t xml:space="preserve"> </w:t>
      </w:r>
      <w:r>
        <w:rPr>
          <w:rStyle w:val="VerbatimChar"/>
        </w:rPr>
        <w:t xml:space="preserve">unnnzjvu</w:t>
      </w:r>
      <w:r>
        <w:t xml:space="preserve"> </w:t>
      </w:r>
      <w:r>
        <w:t xml:space="preserve">for BOM,</w:t>
      </w:r>
      <w:r>
        <w:t xml:space="preserve"> </w:t>
      </w:r>
      <w:r>
        <w:rPr>
          <w:rStyle w:val="VerbatimChar"/>
        </w:rPr>
        <w:t xml:space="preserve">okjypmxdrf</w:t>
      </w:r>
      <w:r>
        <w:t xml:space="preserve"> </w:t>
      </w:r>
      <w:r>
        <w:t xml:space="preserve">for distance), illustrative but representative data have been generated in adherence to the specified formats and types to demonstrate the calculation methodology. All emission factors are derived from industry-standard databases like Ecoinvent and DEFRA equivalents, as found via recent public searches.</w:t>
      </w:r>
    </w:p>
    <w:bookmarkStart w:id="28" w:name="X1c858762ee98f0d0bf8c978d12e31ca52fad004"/>
    <w:p>
      <w:pPr>
        <w:pStyle w:val="Heading3"/>
      </w:pPr>
      <w:r>
        <w:t xml:space="preserve">2.1. Material Acquisition &amp; Processing (Upstream - Scope 3)</w:t>
      </w:r>
    </w:p>
    <w:p>
      <w:pPr>
        <w:pStyle w:val="FirstParagraph"/>
      </w:pPr>
      <w:r>
        <w:t xml:space="preserve">The Detailed Bill of Materials (BOM) for ekqqrpshxn (</w:t>
      </w:r>
      <w:r>
        <w:rPr>
          <w:rStyle w:val="VerbatimChar"/>
        </w:rPr>
        <w:t xml:space="preserve">unnnzjvu</w:t>
      </w:r>
      <w:r>
        <w:t xml:space="preserve">) is critical for high-accuracy material impact calculation. For this report, the following illustrative BOM data, conforming to the specified format, is used for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Total Mass of Product (excluding packaging):</w:t>
      </w:r>
      <w:r>
        <w:t xml:space="preserve"> </w:t>
      </w:r>
      <w:r>
        <w:t xml:space="preserve">0.5 + 0.3 + 0.05 + 0.1 = 0.95 kg</w:t>
      </w:r>
    </w:p>
    <w:p>
      <w:pPr>
        <w:pStyle w:val="BodyText"/>
      </w:pPr>
      <w:r>
        <w:rPr>
          <w:bCs/>
          <w:b/>
        </w:rPr>
        <w:t xml:space="preserve">Key Emission Factors Used for Materials:</w:t>
      </w:r>
    </w:p>
    <w:p>
      <w:pPr>
        <w:numPr>
          <w:ilvl w:val="0"/>
          <w:numId w:val="1002"/>
        </w:numPr>
        <w:pStyle w:val="Compact"/>
      </w:pPr>
      <w:r>
        <w:t xml:space="preserve">Primary Aluminum Alloy: 7.0 kg CO2e/kg. This factor represents primary aluminum production, which is energy-intensive.</w:t>
      </w:r>
    </w:p>
    <w:p>
      <w:pPr>
        <w:numPr>
          <w:ilvl w:val="0"/>
          <w:numId w:val="1002"/>
        </w:numPr>
        <w:pStyle w:val="Compact"/>
      </w:pPr>
      <w:r>
        <w:t xml:space="preserve">ABS Plastic (virgin): 3.1 kg CO2e/kg.</w:t>
      </w:r>
    </w:p>
    <w:p>
      <w:pPr>
        <w:numPr>
          <w:ilvl w:val="0"/>
          <w:numId w:val="1002"/>
        </w:numPr>
        <w:pStyle w:val="Compact"/>
      </w:pPr>
      <w:r>
        <w:t xml:space="preserve">Copper: 4.0 kg CO2e/kg.</w:t>
      </w:r>
    </w:p>
    <w:p>
      <w:pPr>
        <w:numPr>
          <w:ilvl w:val="0"/>
          <w:numId w:val="1002"/>
        </w:numPr>
        <w:pStyle w:val="Compact"/>
      </w:pPr>
      <w:r>
        <w:t xml:space="preserve">Packaging Cardboard: 1.0 kg CO2e/kg (average for corrugated cardboard, cradle-to-grave).</w:t>
      </w:r>
    </w:p>
    <w:p>
      <w:pPr>
        <w:numPr>
          <w:ilvl w:val="0"/>
          <w:numId w:val="1002"/>
        </w:numPr>
        <w:pStyle w:val="Compact"/>
      </w:pPr>
      <w:r>
        <w:t xml:space="preserve">Circuit Board: 10.0 kg CO2e/unit (illustrative, reflecting complex manufacturing and diverse components).</w:t>
      </w:r>
    </w:p>
    <w:bookmarkEnd w:id="28"/>
    <w:bookmarkStart w:id="29" w:name="X09032c7b0885c28ee7f4082f23cc07f5468db17"/>
    <w:p>
      <w:pPr>
        <w:pStyle w:val="Heading3"/>
      </w:pPr>
      <w:r>
        <w:t xml:space="preserve">2.2. Production Phase (Direct &amp; Indirect Emissions)</w:t>
      </w:r>
    </w:p>
    <w:p>
      <w:pPr>
        <w:pStyle w:val="FirstParagraph"/>
      </w:pPr>
      <w:r>
        <w:t xml:space="preserve">The manufacturing process occurs in China.</w:t>
      </w:r>
    </w:p>
    <w:p>
      <w:pPr>
        <w:numPr>
          <w:ilvl w:val="0"/>
          <w:numId w:val="1003"/>
        </w:numPr>
        <w:pStyle w:val="Compact"/>
      </w:pPr>
      <w:r>
        <w:rPr>
          <w:bCs/>
          <w:b/>
        </w:rPr>
        <w:t xml:space="preserve">Energy Intensity (kWh/unit):</w:t>
      </w:r>
      <w:r>
        <w:t xml:space="preserve"> </w:t>
      </w:r>
      <w:r>
        <w:rPr>
          <w:rStyle w:val="VerbatimChar"/>
        </w:rPr>
        <w:t xml:space="preserve">kwpkygzgvj</w:t>
      </w:r>
      <w:r>
        <w:t xml:space="preserve"> </w:t>
      </w:r>
      <w:r>
        <w:t xml:space="preserve">= 2.5 kWh/unit</w:t>
      </w:r>
    </w:p>
    <w:p>
      <w:pPr>
        <w:numPr>
          <w:ilvl w:val="0"/>
          <w:numId w:val="1003"/>
        </w:numPr>
        <w:pStyle w:val="Compact"/>
      </w:pPr>
      <w:r>
        <w:rPr>
          <w:bCs/>
          <w:b/>
        </w:rPr>
        <w:t xml:space="preserve">Renewable Energy Usage:</w:t>
      </w:r>
      <w:r>
        <w:t xml:space="preserve"> </w:t>
      </w:r>
      <w:r>
        <w:rPr>
          <w:rStyle w:val="VerbatimChar"/>
        </w:rPr>
        <w:t xml:space="preserve">wilrorhrpm</w:t>
      </w:r>
      <w:r>
        <w:t xml:space="preserve"> </w:t>
      </w:r>
      <w:r>
        <w:t xml:space="preserve">= 40%</w:t>
      </w:r>
    </w:p>
    <w:p>
      <w:pPr>
        <w:numPr>
          <w:ilvl w:val="0"/>
          <w:numId w:val="1003"/>
        </w:numPr>
        <w:pStyle w:val="Compact"/>
      </w:pPr>
      <w:r>
        <w:rPr>
          <w:bCs/>
          <w:b/>
        </w:rPr>
        <w:t xml:space="preserve">Electricity Grid Emission Factor (China):</w:t>
      </w:r>
      <w:r>
        <w:t xml:space="preserve"> </w:t>
      </w:r>
      <w:r>
        <w:t xml:space="preserve">0.8 kg CO2e/kWh (national average for China\'s electricity grid, 2022 data)</w:t>
      </w:r>
    </w:p>
    <w:bookmarkEnd w:id="29"/>
    <w:bookmarkStart w:id="30" w:name="Xd2c26f3a886b10000824b169fd94a9ab4363364"/>
    <w:p>
      <w:pPr>
        <w:pStyle w:val="Heading3"/>
      </w:pPr>
      <w:r>
        <w:t xml:space="preserve">2.3. Transport &amp; Distribution (Upstream &amp; Downstream - Scope 3)</w:t>
      </w:r>
    </w:p>
    <w:p>
      <w:pPr>
        <w:pStyle w:val="FirstParagraph"/>
      </w:pPr>
      <w:r>
        <w:t xml:space="preserve">The logistics data (Transport Mode: Select Mode, Transport Distance: okjypmxdrf, Last-Mile Delivery Channel: Delivery Type) are incorporated as follows, using illustrative modes and distances consistent with a China-based production and Europe-focused supply chain.</w:t>
      </w:r>
    </w:p>
    <w:p>
      <w:pPr>
        <w:numPr>
          <w:ilvl w:val="0"/>
          <w:numId w:val="1004"/>
        </w:numPr>
        <w:pStyle w:val="Compact"/>
      </w:pPr>
      <w:r>
        <w:rPr>
          <w:bCs/>
          <w:b/>
        </w:rPr>
        <w:t xml:space="preserve">Upstream Transport (Materials to China Factory):</w:t>
      </w:r>
    </w:p>
    <w:p>
      <w:pPr>
        <w:numPr>
          <w:ilvl w:val="1"/>
          <w:numId w:val="1005"/>
        </w:numPr>
        <w:pStyle w:val="Compact"/>
      </w:pPr>
      <w:r>
        <w:t xml:space="preserve">Assumed average distance for primary materials: 10,000 km by sea freight (given "Europe Focused" supply chain, implying international sourcing).</w:t>
      </w:r>
    </w:p>
    <w:p>
      <w:pPr>
        <w:numPr>
          <w:ilvl w:val="1"/>
          <w:numId w:val="1005"/>
        </w:numPr>
        <w:pStyle w:val="Compact"/>
      </w:pPr>
      <w:r>
        <w:t xml:space="preserve">Total material mass transported: 0.95 kg (product) + 0.1 kg (packaging) = 1.05 kg.</w:t>
      </w:r>
    </w:p>
    <w:p>
      <w:pPr>
        <w:numPr>
          <w:ilvl w:val="1"/>
          <w:numId w:val="1005"/>
        </w:numPr>
        <w:pStyle w:val="Compact"/>
      </w:pPr>
      <w:r>
        <w:t xml:space="preserve">Sea freight emission factor: 0.016 kg CO2e/tonne-km.</w:t>
      </w:r>
    </w:p>
    <w:p>
      <w:pPr>
        <w:numPr>
          <w:ilvl w:val="0"/>
          <w:numId w:val="1004"/>
        </w:numPr>
        <w:pStyle w:val="Compact"/>
      </w:pPr>
      <w:r>
        <w:rPr>
          <w:bCs/>
          <w:b/>
        </w:rPr>
        <w:t xml:space="preserve">Downstream Transport (Product from China Factory Gate to European Distribution, and Last-Mile Delivery):</w:t>
      </w:r>
    </w:p>
    <w:p>
      <w:pPr>
        <w:numPr>
          <w:ilvl w:val="1"/>
          <w:numId w:val="1006"/>
        </w:numPr>
        <w:pStyle w:val="Compact"/>
      </w:pPr>
      <w:r>
        <w:t xml:space="preserve">Primary transport from China to Europe (e.g., to a central European hub): 15,000 km by sea freight.</w:t>
      </w:r>
    </w:p>
    <w:p>
      <w:pPr>
        <w:numPr>
          <w:ilvl w:val="1"/>
          <w:numId w:val="1006"/>
        </w:numPr>
        <w:pStyle w:val="Compact"/>
      </w:pPr>
      <w:r>
        <w:t xml:space="preserve">Last-mile delivery (from European hub to customer): 500 km by road transport.</w:t>
      </w:r>
    </w:p>
    <w:p>
      <w:pPr>
        <w:numPr>
          <w:ilvl w:val="1"/>
          <w:numId w:val="1006"/>
        </w:numPr>
        <w:pStyle w:val="Compact"/>
      </w:pPr>
      <w:r>
        <w:t xml:space="preserve">Road transport (HGV/van) emission factor: 0.074 kg CO2e/tonne-km.</w:t>
      </w:r>
    </w:p>
    <w:bookmarkEnd w:id="30"/>
    <w:bookmarkStart w:id="31" w:name="use-phase-downstream---scope-3"/>
    <w:p>
      <w:pPr>
        <w:pStyle w:val="Heading3"/>
      </w:pPr>
      <w:r>
        <w:t xml:space="preserve">2.4. Use Phase (Downstream - Scope 3)</w:t>
      </w:r>
    </w:p>
    <w:p>
      <w:pPr>
        <w:pStyle w:val="FirstParagraph"/>
      </w:pPr>
      <w:r>
        <w:t xml:space="preserve">The use phase calculation utilizes the specific durability and consumption data provided.</w:t>
      </w:r>
    </w:p>
    <w:p>
      <w:pPr>
        <w:numPr>
          <w:ilvl w:val="0"/>
          <w:numId w:val="1007"/>
        </w:numPr>
        <w:pStyle w:val="Compact"/>
      </w:pPr>
      <w:r>
        <w:rPr>
          <w:bCs/>
          <w:b/>
        </w:rPr>
        <w:t xml:space="preserve">Product Lifespan:</w:t>
      </w:r>
      <w:r>
        <w:t xml:space="preserve"> </w:t>
      </w:r>
      <w:r>
        <w:rPr>
          <w:rStyle w:val="VerbatimChar"/>
        </w:rPr>
        <w:t xml:space="preserve">fngpiofuwp</w:t>
      </w:r>
      <w:r>
        <w:t xml:space="preserve"> </w:t>
      </w:r>
      <w:r>
        <w:t xml:space="preserve">= 5 years</w:t>
      </w:r>
    </w:p>
    <w:p>
      <w:pPr>
        <w:numPr>
          <w:ilvl w:val="0"/>
          <w:numId w:val="1007"/>
        </w:numPr>
        <w:pStyle w:val="Compact"/>
      </w:pPr>
      <w:r>
        <w:rPr>
          <w:bCs/>
          <w:b/>
        </w:rPr>
        <w:t xml:space="preserve">Energy Consumption in Use:</w:t>
      </w:r>
      <w:r>
        <w:t xml:space="preserve"> </w:t>
      </w:r>
      <w:r>
        <w:rPr>
          <w:rStyle w:val="VerbatimChar"/>
        </w:rPr>
        <w:t xml:space="preserve">zqilgwgirl</w:t>
      </w:r>
      <w:r>
        <w:t xml:space="preserve"> </w:t>
      </w:r>
      <w:r>
        <w:t xml:space="preserve">= 10 kWh/year</w:t>
      </w:r>
    </w:p>
    <w:p>
      <w:pPr>
        <w:numPr>
          <w:ilvl w:val="0"/>
          <w:numId w:val="1007"/>
        </w:numPr>
        <w:pStyle w:val="Compact"/>
      </w:pPr>
      <w:r>
        <w:rPr>
          <w:bCs/>
          <w:b/>
        </w:rPr>
        <w:t xml:space="preserve">Electricity Grid Emission Factor (Average Europe for Use Phase):</w:t>
      </w:r>
      <w:r>
        <w:t xml:space="preserve"> </w:t>
      </w:r>
      <w:r>
        <w:t xml:space="preserve">0.25 kg CO2e/kWh (approximate average for European electricity grid, based on 2024 data).</w:t>
      </w:r>
    </w:p>
    <w:bookmarkEnd w:id="31"/>
    <w:bookmarkStart w:id="32" w:name="Xbd5ce2581a055ba0d05236edb0e67e8783fa2ac"/>
    <w:p>
      <w:pPr>
        <w:pStyle w:val="Heading3"/>
      </w:pPr>
      <w:r>
        <w:t xml:space="preserve">2.5. End-of-Life (EoL) Scenarios (Downstream - Scope 3)</w:t>
      </w:r>
    </w:p>
    <w:p>
      <w:pPr>
        <w:pStyle w:val="FirstParagraph"/>
      </w:pPr>
      <w:r>
        <w:t xml:space="preserve">The end-of-life impacts reflect circular economy principles.</w:t>
      </w:r>
    </w:p>
    <w:p>
      <w:pPr>
        <w:numPr>
          <w:ilvl w:val="0"/>
          <w:numId w:val="1008"/>
        </w:numPr>
        <w:pStyle w:val="Compact"/>
      </w:pPr>
      <w:r>
        <w:rPr>
          <w:bCs/>
          <w:b/>
        </w:rPr>
        <w:t xml:space="preserve">Recyclability Percentage:</w:t>
      </w:r>
      <w:r>
        <w:t xml:space="preserve"> </w:t>
      </w:r>
      <w:r>
        <w:rPr>
          <w:rStyle w:val="VerbatimChar"/>
        </w:rPr>
        <w:t xml:space="preserve">lvwtpjtlgo</w:t>
      </w:r>
      <w:r>
        <w:t xml:space="preserve"> </w:t>
      </w:r>
      <w:r>
        <w:t xml:space="preserve">= 70%</w:t>
      </w:r>
    </w:p>
    <w:p>
      <w:pPr>
        <w:numPr>
          <w:ilvl w:val="0"/>
          <w:numId w:val="1008"/>
        </w:numPr>
        <w:pStyle w:val="Compact"/>
      </w:pPr>
      <w:r>
        <w:rPr>
          <w:bCs/>
          <w:b/>
        </w:rPr>
        <w:t xml:space="preserve">Circular/Take-back Programs:</w:t>
      </w:r>
      <w:r>
        <w:t xml:space="preserve"> </w:t>
      </w:r>
      <w:r>
        <w:rPr>
          <w:rStyle w:val="VerbatimChar"/>
        </w:rPr>
        <w:t xml:space="preserve">smqifmvwvh</w:t>
      </w:r>
      <w:r>
        <w:t xml:space="preserve"> </w:t>
      </w:r>
      <w:r>
        <w:t xml:space="preserve">= "Active take-back program for product components"</w:t>
      </w:r>
    </w:p>
    <w:p>
      <w:pPr>
        <w:numPr>
          <w:ilvl w:val="0"/>
          <w:numId w:val="1008"/>
        </w:numPr>
        <w:pStyle w:val="Compact"/>
      </w:pPr>
      <w:r>
        <w:rPr>
          <w:bCs/>
          <w:b/>
        </w:rPr>
        <w:t xml:space="preserve">Assumed EoL Treatment for Non-recycled portion (30%):</w:t>
      </w:r>
      <w:r>
        <w:t xml:space="preserve"> </w:t>
      </w:r>
      <w:r>
        <w:t xml:space="preserve">Landfill.</w:t>
      </w:r>
    </w:p>
    <w:p>
      <w:pPr>
        <w:numPr>
          <w:ilvl w:val="0"/>
          <w:numId w:val="1008"/>
        </w:numPr>
        <w:pStyle w:val="Compact"/>
      </w:pPr>
      <w:r>
        <w:rPr>
          <w:bCs/>
          <w:b/>
        </w:rPr>
        <w:t xml:space="preserve">EoL Emission Factor for Landfill (Mixed Waste, illustrative):</w:t>
      </w:r>
      <w:r>
        <w:t xml:space="preserve"> </w:t>
      </w:r>
      <w:r>
        <w:t xml:space="preserve">0.05 kg CO2e/kg (illustrative for non-recyclable plastic/other components, recognizing low direct GHG emissions for some landfilled materials but overall impact). For cardboard, landfilling emits methane, so using a factor more appropriate for general waste.</w:t>
      </w:r>
    </w:p>
    <w:p>
      <w:pPr>
        <w:numPr>
          <w:ilvl w:val="0"/>
          <w:numId w:val="1008"/>
        </w:numPr>
        <w:pStyle w:val="Compact"/>
      </w:pPr>
      <w:r>
        <w:rPr>
          <w:bCs/>
          <w:b/>
        </w:rPr>
        <w:t xml:space="preserve">Avoided Emissions for Recycled Portion (70%):</w:t>
      </w:r>
      <w:r>
        <w:t xml:space="preserve"> </w:t>
      </w:r>
      <w:r>
        <w:t xml:space="preserve">For simplification, the 70% recycled portion is assumed to avoid the equivalent amount of virgin material production emissions that it displaces. However, the direct emissions from recycling processes are accounted for within the system that uses the recycled content. Here, we model the impact of the waste generated by the product, assuming a net benefit from recycling by avoiding landfill emissions.</w:t>
      </w:r>
    </w:p>
    <w:p>
      <w:r>
        <w:pict>
          <v:rect style="width:0;height:1.5pt" o:hralign="center" o:hrstd="t" o:hr="t"/>
        </w:pict>
      </w:r>
    </w:p>
    <w:bookmarkEnd w:id="32"/>
    <w:bookmarkEnd w:id="33"/>
    <w:bookmarkStart w:id="45" w:name="X439a6e6dcb43c636bf515ffaf3f59bce0bd6490"/>
    <w:p>
      <w:pPr>
        <w:pStyle w:val="Heading2"/>
      </w:pPr>
      <w:r>
        <w:t xml:space="preserve">4. Emission Calculation (Activity * Emission Factor = CO2e)</w:t>
      </w:r>
    </w:p>
    <w:p>
      <w:pPr>
        <w:pStyle w:val="FirstParagraph"/>
      </w:pPr>
      <w:r>
        <w:t xml:space="preserve">The calculations categorize emissions according to the GHG Protocol Scopes. The total carbon footprint will be presented in kg CO2e per functional unit (1.0 unit of ekqqrpshxn).</w:t>
      </w:r>
    </w:p>
    <w:bookmarkStart w:id="36" w:name="X36b750397d887a058a2ea867d5768bbc6b182fe"/>
    <w:p>
      <w:pPr>
        <w:pStyle w:val="Heading3"/>
      </w:pPr>
      <w:r>
        <w:t xml:space="preserve">4.1. Scope 3: Upstream Emissions (Cradle-to-Gate components)</w:t>
      </w:r>
    </w:p>
    <w:bookmarkStart w:id="34" w:name="materials-acquisition-processing"/>
    <w:p>
      <w:pPr>
        <w:pStyle w:val="Heading4"/>
      </w:pPr>
      <w:r>
        <w:t xml:space="preserve">4.1.1. Materials Acquisition &amp; Processing</w:t>
      </w:r>
    </w:p>
    <w:p>
      <w:pPr>
        <w:pStyle w:val="FirstParagraph"/>
      </w:pPr>
      <w:r>
        <w:t xml:space="preserve">Calculated based on the illustrative BOM data provided:</w:t>
      </w:r>
    </w:p>
    <w:p>
      <w:pPr>
        <w:numPr>
          <w:ilvl w:val="0"/>
          <w:numId w:val="1009"/>
        </w:numPr>
        <w:pStyle w:val="Compact"/>
      </w:pPr>
      <w:r>
        <w:t xml:space="preserve">Aluminum Alloy: 0.5 kg * 7.0 kg CO2e/kg = 3.50 kg CO2e</w:t>
      </w:r>
    </w:p>
    <w:p>
      <w:pPr>
        <w:numPr>
          <w:ilvl w:val="0"/>
          <w:numId w:val="1009"/>
        </w:numPr>
        <w:pStyle w:val="Compact"/>
      </w:pPr>
      <w:r>
        <w:t xml:space="preserve">ABS Plastic: 0.3 kg * 3.1 kg CO2e/kg = 0.93 kg CO2e</w:t>
      </w:r>
    </w:p>
    <w:p>
      <w:pPr>
        <w:numPr>
          <w:ilvl w:val="0"/>
          <w:numId w:val="1009"/>
        </w:numPr>
        <w:pStyle w:val="Compact"/>
      </w:pPr>
      <w:r>
        <w:t xml:space="preserve">Copper Wire: 0.05 kg * 4.0 kg CO2e/kg = 0.20 kg CO2e</w:t>
      </w:r>
    </w:p>
    <w:p>
      <w:pPr>
        <w:numPr>
          <w:ilvl w:val="0"/>
          <w:numId w:val="1009"/>
        </w:numPr>
        <w:pStyle w:val="Compact"/>
      </w:pPr>
      <w:r>
        <w:t xml:space="preserve">Circuit Board: 0.1 unit * 10.0 kg CO2e/unit = 1.00 kg CO2e</w:t>
      </w:r>
    </w:p>
    <w:p>
      <w:pPr>
        <w:numPr>
          <w:ilvl w:val="0"/>
          <w:numId w:val="1009"/>
        </w:numPr>
        <w:pStyle w:val="Compact"/>
      </w:pPr>
      <w:r>
        <w:t xml:space="preserve">Packaging Cardboard: 0.1 kg * 1.0 kg CO2e/kg = 0.10 kg CO2e</w:t>
      </w:r>
    </w:p>
    <w:p>
      <w:pPr>
        <w:pStyle w:val="FirstParagraph"/>
      </w:pPr>
      <w:r>
        <w:rPr>
          <w:bCs/>
          <w:b/>
        </w:rPr>
        <w:t xml:space="preserve">Total Materials Emissions: 3.50 + 0.93 + 0.20 + 1.00 + 0.10 = 5.73 kg CO2e</w:t>
      </w:r>
    </w:p>
    <w:bookmarkEnd w:id="34"/>
    <w:bookmarkStart w:id="35" w:name="upstream-transportation"/>
    <w:p>
      <w:pPr>
        <w:pStyle w:val="Heading4"/>
      </w:pPr>
      <w:r>
        <w:t xml:space="preserve">4.1.2. Upstream Transportation</w:t>
      </w:r>
    </w:p>
    <w:p>
      <w:pPr>
        <w:numPr>
          <w:ilvl w:val="0"/>
          <w:numId w:val="1010"/>
        </w:numPr>
        <w:pStyle w:val="Compact"/>
      </w:pPr>
      <w:r>
        <w:t xml:space="preserve">Total mass for upstream transport (materials to factory): 1.05 kg = 0.00105 tonnes</w:t>
      </w:r>
    </w:p>
    <w:p>
      <w:pPr>
        <w:numPr>
          <w:ilvl w:val="0"/>
          <w:numId w:val="1010"/>
        </w:numPr>
        <w:pStyle w:val="Compact"/>
      </w:pPr>
      <w:r>
        <w:t xml:space="preserve">Distance: 10,000 km (sea freight)</w:t>
      </w:r>
    </w:p>
    <w:p>
      <w:pPr>
        <w:numPr>
          <w:ilvl w:val="0"/>
          <w:numId w:val="1010"/>
        </w:numPr>
        <w:pStyle w:val="Compact"/>
      </w:pPr>
      <w:r>
        <w:t xml:space="preserve">Emissions = 0.00105 tonnes * 10,000 km * 0.016 kg CO2e/tonne-km =</w:t>
      </w:r>
      <w:r>
        <w:t xml:space="preserve"> </w:t>
      </w:r>
      <w:r>
        <w:rPr>
          <w:bCs/>
          <w:b/>
        </w:rPr>
        <w:t xml:space="preserve">0.168 kg CO2e</w:t>
      </w:r>
    </w:p>
    <w:bookmarkEnd w:id="35"/>
    <w:bookmarkEnd w:id="36"/>
    <w:bookmarkStart w:id="37" w:name="X6ca0a628ba9d39d419fed52ce372fdb017d5b48"/>
    <w:p>
      <w:pPr>
        <w:pStyle w:val="Heading3"/>
      </w:pPr>
      <w:r>
        <w:t xml:space="preserve">4.2. Scope 2: Production Phase Emissions (Purchased Electricity)</w:t>
      </w:r>
    </w:p>
    <w:p>
      <w:pPr>
        <w:numPr>
          <w:ilvl w:val="0"/>
          <w:numId w:val="1011"/>
        </w:numPr>
        <w:pStyle w:val="Compact"/>
      </w:pPr>
      <w:r>
        <w:t xml:space="preserve">Energy Intensity: 2.5 kWh/unit</w:t>
      </w:r>
    </w:p>
    <w:p>
      <w:pPr>
        <w:numPr>
          <w:ilvl w:val="0"/>
          <w:numId w:val="1011"/>
        </w:numPr>
        <w:pStyle w:val="Compact"/>
      </w:pPr>
      <w:r>
        <w:t xml:space="preserve">Non-renewable energy usage: (1 - 0.40) = 0.60 (60%)</w:t>
      </w:r>
    </w:p>
    <w:p>
      <w:pPr>
        <w:numPr>
          <w:ilvl w:val="0"/>
          <w:numId w:val="1011"/>
        </w:numPr>
        <w:pStyle w:val="Compact"/>
      </w:pPr>
      <w:r>
        <w:t xml:space="preserve">Electricity grid emission factor (China): 0.8 kg CO2e/kWh</w:t>
      </w:r>
    </w:p>
    <w:p>
      <w:pPr>
        <w:numPr>
          <w:ilvl w:val="0"/>
          <w:numId w:val="1011"/>
        </w:numPr>
        <w:pStyle w:val="Compact"/>
      </w:pPr>
      <w:r>
        <w:t xml:space="preserve">Emissions = 2.5 kWh/unit * 0.60 * 0.8 kg CO2e/kWh =</w:t>
      </w:r>
      <w:r>
        <w:t xml:space="preserve"> </w:t>
      </w:r>
      <w:r>
        <w:rPr>
          <w:bCs/>
          <w:b/>
        </w:rPr>
        <w:t xml:space="preserve">1.20 kg CO2e</w:t>
      </w:r>
    </w:p>
    <w:bookmarkEnd w:id="37"/>
    <w:bookmarkStart w:id="38" w:name="X0fb250d1b311e2a5d79ff12e737c89bdaa4a586"/>
    <w:p>
      <w:pPr>
        <w:pStyle w:val="Heading3"/>
      </w:pPr>
      <w:r>
        <w:t xml:space="preserve">4.3. Scope 1: Production Phase Emissions (Direct, not specified)</w:t>
      </w:r>
    </w:p>
    <w:p>
      <w:pPr>
        <w:pStyle w:val="FirstParagraph"/>
      </w:pPr>
      <w:r>
        <w:t xml:space="preserve">No specific direct (Scope 1) emissions data (e.g., on-site fuel combustion) for the production facility in China were provided. For the purpose of this PCF, it is assumed that significant direct emissions are either negligible for the product or implicitly covered by purchased energy and material factors, or require further primary data collection. For comprehensive GHG Protocol reporting, Scope 1 emissions would be meticulously quantified.</w:t>
      </w:r>
    </w:p>
    <w:bookmarkEnd w:id="38"/>
    <w:bookmarkStart w:id="42" w:name="X391611aa290dc17e9cf9440db653c6758edaf01"/>
    <w:p>
      <w:pPr>
        <w:pStyle w:val="Heading3"/>
      </w:pPr>
      <w:r>
        <w:t xml:space="preserve">4.4. Scope 3: Downstream Emissions (Cradle-to-Grave components)</w:t>
      </w:r>
    </w:p>
    <w:bookmarkStart w:id="39" w:name="downstream-transportation-distribution"/>
    <w:p>
      <w:pPr>
        <w:pStyle w:val="Heading4"/>
      </w:pPr>
      <w:r>
        <w:t xml:space="preserve">4.4.1. Downstream Transportation &amp; Distribution</w:t>
      </w:r>
    </w:p>
    <w:p>
      <w:pPr>
        <w:numPr>
          <w:ilvl w:val="0"/>
          <w:numId w:val="1012"/>
        </w:numPr>
        <w:pStyle w:val="Compact"/>
      </w:pPr>
      <w:r>
        <w:t xml:space="preserve">Product mass for downstream transport: 1.05 kg = 0.00105 tonnes</w:t>
      </w:r>
    </w:p>
    <w:p>
      <w:pPr>
        <w:numPr>
          <w:ilvl w:val="0"/>
          <w:numId w:val="1012"/>
        </w:numPr>
        <w:pStyle w:val="Compact"/>
      </w:pPr>
      <w:r>
        <w:t xml:space="preserve">Sea freight (China to Europe):</w:t>
      </w:r>
    </w:p>
    <w:p>
      <w:pPr>
        <w:numPr>
          <w:ilvl w:val="1"/>
          <w:numId w:val="1013"/>
        </w:numPr>
        <w:pStyle w:val="Compact"/>
      </w:pPr>
      <w:r>
        <w:t xml:space="preserve">Distance: 15,000 km</w:t>
      </w:r>
    </w:p>
    <w:p>
      <w:pPr>
        <w:numPr>
          <w:ilvl w:val="1"/>
          <w:numId w:val="1013"/>
        </w:numPr>
        <w:pStyle w:val="Compact"/>
      </w:pPr>
      <w:r>
        <w:t xml:space="preserve">Emissions = 0.00105 tonnes * 15,000 km * 0.016 kg CO2e/tonne-km =</w:t>
      </w:r>
      <w:r>
        <w:t xml:space="preserve"> </w:t>
      </w:r>
      <w:r>
        <w:rPr>
          <w:bCs/>
          <w:b/>
        </w:rPr>
        <w:t xml:space="preserve">0.252 kg CO2e</w:t>
      </w:r>
    </w:p>
    <w:p>
      <w:pPr>
        <w:numPr>
          <w:ilvl w:val="0"/>
          <w:numId w:val="1012"/>
        </w:numPr>
        <w:pStyle w:val="Compact"/>
      </w:pPr>
      <w:r>
        <w:t xml:space="preserve">Road transport (European last-mile):</w:t>
      </w:r>
    </w:p>
    <w:p>
      <w:pPr>
        <w:numPr>
          <w:ilvl w:val="1"/>
          <w:numId w:val="1014"/>
        </w:numPr>
        <w:pStyle w:val="Compact"/>
      </w:pPr>
      <w:r>
        <w:t xml:space="preserve">Distance: 500 km</w:t>
      </w:r>
    </w:p>
    <w:p>
      <w:pPr>
        <w:numPr>
          <w:ilvl w:val="1"/>
          <w:numId w:val="1014"/>
        </w:numPr>
        <w:pStyle w:val="Compact"/>
      </w:pPr>
      <w:r>
        <w:t xml:space="preserve">Emissions = 0.00105 tonnes * 500 km * 0.074 kg CO2e/tonne-km =</w:t>
      </w:r>
      <w:r>
        <w:t xml:space="preserve"> </w:t>
      </w:r>
      <w:r>
        <w:rPr>
          <w:bCs/>
          <w:b/>
        </w:rPr>
        <w:t xml:space="preserve">0.039 kg CO2e</w:t>
      </w:r>
    </w:p>
    <w:p>
      <w:pPr>
        <w:pStyle w:val="FirstParagraph"/>
      </w:pPr>
      <w:r>
        <w:rPr>
          <w:bCs/>
          <w:b/>
        </w:rPr>
        <w:t xml:space="preserve">Total Downstream Transportation Emissions: 0.252 + 0.039 = 0.291 kg CO2e</w:t>
      </w:r>
    </w:p>
    <w:bookmarkEnd w:id="39"/>
    <w:bookmarkStart w:id="40" w:name="use-phase-emissions"/>
    <w:p>
      <w:pPr>
        <w:pStyle w:val="Heading4"/>
      </w:pPr>
      <w:r>
        <w:t xml:space="preserve">4.4.2. Use Phase Emissions</w:t>
      </w:r>
    </w:p>
    <w:p>
      <w:pPr>
        <w:numPr>
          <w:ilvl w:val="0"/>
          <w:numId w:val="1015"/>
        </w:numPr>
        <w:pStyle w:val="Compact"/>
      </w:pPr>
      <w:r>
        <w:t xml:space="preserve">Product Lifespan: 5 years</w:t>
      </w:r>
    </w:p>
    <w:p>
      <w:pPr>
        <w:numPr>
          <w:ilvl w:val="0"/>
          <w:numId w:val="1015"/>
        </w:numPr>
        <w:pStyle w:val="Compact"/>
      </w:pPr>
      <w:r>
        <w:t xml:space="preserve">Energy Consumption: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Electricity grid emission factor (Europe): 0.25 kg CO2e/kWh</w:t>
      </w:r>
    </w:p>
    <w:p>
      <w:pPr>
        <w:numPr>
          <w:ilvl w:val="0"/>
          <w:numId w:val="1015"/>
        </w:numPr>
        <w:pStyle w:val="Compact"/>
      </w:pPr>
      <w:r>
        <w:t xml:space="preserve">Emissions = 50 kWh * 0.25 kg CO2e/kWh =</w:t>
      </w:r>
      <w:r>
        <w:t xml:space="preserve"> </w:t>
      </w:r>
      <w:r>
        <w:rPr>
          <w:bCs/>
          <w:b/>
        </w:rPr>
        <w:t xml:space="preserve">12.50 kg CO2e</w:t>
      </w:r>
    </w:p>
    <w:bookmarkEnd w:id="40"/>
    <w:bookmarkStart w:id="41" w:name="end-of-life-eol-emissions"/>
    <w:p>
      <w:pPr>
        <w:pStyle w:val="Heading4"/>
      </w:pPr>
      <w:r>
        <w:t xml:space="preserve">4.4.3. End-of-Life (EoL) Emissions</w:t>
      </w:r>
    </w:p>
    <w:p>
      <w:pPr>
        <w:numPr>
          <w:ilvl w:val="0"/>
          <w:numId w:val="1016"/>
        </w:numPr>
        <w:pStyle w:val="Compact"/>
      </w:pPr>
      <w:r>
        <w:t xml:space="preserve">Total product mass (including packaging): 1.05 kg</w:t>
      </w:r>
    </w:p>
    <w:p>
      <w:pPr>
        <w:numPr>
          <w:ilvl w:val="0"/>
          <w:numId w:val="1016"/>
        </w:numPr>
        <w:pStyle w:val="Compact"/>
      </w:pPr>
      <w:r>
        <w:t xml:space="preserve">Non-recycled portion: (1 - 0.70) = 0.30 (30%)</w:t>
      </w:r>
    </w:p>
    <w:p>
      <w:pPr>
        <w:numPr>
          <w:ilvl w:val="0"/>
          <w:numId w:val="1016"/>
        </w:numPr>
        <w:pStyle w:val="Compact"/>
      </w:pPr>
      <w:r>
        <w:t xml:space="preserve">Mass to landfill: 1.05 kg * 0.30 = 0.315 kg</w:t>
      </w:r>
    </w:p>
    <w:p>
      <w:pPr>
        <w:numPr>
          <w:ilvl w:val="0"/>
          <w:numId w:val="1016"/>
        </w:numPr>
        <w:pStyle w:val="Compact"/>
      </w:pPr>
      <w:r>
        <w:t xml:space="preserve">Landfill emission factor: 0.05 kg CO2e/kg</w:t>
      </w:r>
    </w:p>
    <w:p>
      <w:pPr>
        <w:numPr>
          <w:ilvl w:val="0"/>
          <w:numId w:val="1016"/>
        </w:numPr>
        <w:pStyle w:val="Compact"/>
      </w:pPr>
      <w:r>
        <w:t xml:space="preserve">Emissions = 0.315 kg * 0.05 kg CO2e/kg =</w:t>
      </w:r>
      <w:r>
        <w:t xml:space="preserve"> </w:t>
      </w:r>
      <w:r>
        <w:rPr>
          <w:bCs/>
          <w:b/>
        </w:rPr>
        <w:t xml:space="preserve">0.016 kg CO2e</w:t>
      </w:r>
    </w:p>
    <w:p>
      <w:pPr>
        <w:numPr>
          <w:ilvl w:val="0"/>
          <w:numId w:val="1016"/>
        </w:numPr>
        <w:pStyle w:val="Compact"/>
      </w:pPr>
      <w:r>
        <w:t xml:space="preserve">Recycled portion (70%): An active take-back program and high recyclability are significant. While recycling processes themselves have emissions, these are typically lower than virgin production and offer circularity benefits by displacing virgin materials. For this PCF, the focus is on the emissions *from* the product\'s end-of-life disposal. The emissions from the recycling process itself are considered to be part of the system that utilizes the recycled material, providing a net benefit by avoiding virgin material extraction and processing. Therefore, no direct positive emissions are attributed to the recycled portion at EoL, reflecting its circular economy impact.</w:t>
      </w:r>
    </w:p>
    <w:p>
      <w:pPr>
        <w:pStyle w:val="FirstParagraph"/>
      </w:pPr>
      <w:r>
        <w:rPr>
          <w:bCs/>
          <w:b/>
        </w:rPr>
        <w:t xml:space="preserve">Total End-of-Life Emissions: 0.016 kg CO2e</w:t>
      </w:r>
    </w:p>
    <w:bookmarkEnd w:id="41"/>
    <w:bookmarkEnd w:id="42"/>
    <w:bookmarkStart w:id="44" w:name="X9b8f96e5fd6ec30b02c91cc11d45f1568d9808c"/>
    <w:p>
      <w:pPr>
        <w:pStyle w:val="Heading3"/>
      </w:pPr>
      <w:r>
        <w:t xml:space="preserve">4.5. Summary of Emissions by Scope and Lifecycle Stage</w:t>
      </w:r>
    </w:p>
    <w:p>
      <w:pPr>
        <w:pStyle w:val="FirstParagraph"/>
      </w:pPr>
      <w:r>
        <w:rPr>
          <w:bCs/>
          <w:b/>
        </w:rPr>
        <w:t xml:space="preserve">Total Product Carbon Footprint (Cradle-to-Grave) for 1.0 unit of ekqqrpshxn:</w:t>
      </w:r>
    </w:p>
    <w:p>
      <w:pPr>
        <w:numPr>
          <w:ilvl w:val="0"/>
          <w:numId w:val="1017"/>
        </w:numPr>
        <w:pStyle w:val="Compact"/>
      </w:pPr>
      <w:r>
        <w:t xml:space="preserve">Scope 3 Upstream (Materials): 5.73 kg CO2e</w:t>
      </w:r>
    </w:p>
    <w:p>
      <w:pPr>
        <w:numPr>
          <w:ilvl w:val="0"/>
          <w:numId w:val="1017"/>
        </w:numPr>
        <w:pStyle w:val="Compact"/>
      </w:pPr>
      <w:r>
        <w:t xml:space="preserve">Scope 3 Upstream (Transport to Factory): 0.168 kg CO2e</w:t>
      </w:r>
    </w:p>
    <w:p>
      <w:pPr>
        <w:numPr>
          <w:ilvl w:val="0"/>
          <w:numId w:val="1017"/>
        </w:numPr>
        <w:pStyle w:val="Compact"/>
      </w:pPr>
      <w:r>
        <w:t xml:space="preserve">Scope 2 (Production Energy): 1.20 kg CO2e</w:t>
      </w:r>
    </w:p>
    <w:p>
      <w:pPr>
        <w:numPr>
          <w:ilvl w:val="0"/>
          <w:numId w:val="1017"/>
        </w:numPr>
        <w:pStyle w:val="Compact"/>
      </w:pPr>
      <w:r>
        <w:t xml:space="preserve">Scope 3 Downstream (Transport from Factory to Customer): 0.291 kg CO2e</w:t>
      </w:r>
    </w:p>
    <w:p>
      <w:pPr>
        <w:numPr>
          <w:ilvl w:val="0"/>
          <w:numId w:val="1017"/>
        </w:numPr>
        <w:pStyle w:val="Compact"/>
      </w:pPr>
      <w:r>
        <w:t xml:space="preserve">Scope 3 Downstream (Use Phase): 12.50 kg CO2e</w:t>
      </w:r>
    </w:p>
    <w:p>
      <w:pPr>
        <w:numPr>
          <w:ilvl w:val="0"/>
          <w:numId w:val="1017"/>
        </w:numPr>
        <w:pStyle w:val="Compact"/>
      </w:pPr>
      <w:r>
        <w:t xml:space="preserve">Scope 3 Downstream (End-of-Life): 0.016 kg CO2e</w:t>
      </w:r>
    </w:p>
    <w:p>
      <w:pPr>
        <w:pStyle w:val="FirstParagraph"/>
      </w:pPr>
      <w:r>
        <w:rPr>
          <w:bCs/>
          <w:b/>
        </w:rPr>
        <w:t xml:space="preserve">Overall PCF = 5.73 + 0.168 + 1.20 + 0.291 + 12.50 + 0.016 = 19.905 kg CO2e</w:t>
      </w:r>
    </w:p>
    <w:p>
      <w:pPr>
        <w:pStyle w:val="BodyText"/>
      </w:pPr>
      <w:r>
        <w:rPr>
          <w:bCs/>
          <w:b/>
        </w:rPr>
        <w:t xml:space="preserve">Rounded Total PCF for ekqqrpshxn: ~19.91 kg CO2e per unit</w:t>
      </w:r>
    </w:p>
    <w:p>
      <w:pPr>
        <w:pStyle w:val="BodyText"/>
      </w:pPr>
      <w:r>
        <w:rPr>
          <w:bCs/>
          <w:b/>
        </w:rPr>
        <w:t xml:space="preserve">Detailed Breakdown by Scope:</w:t>
      </w:r>
    </w:p>
    <w:p>
      <w:pPr>
        <w:numPr>
          <w:ilvl w:val="0"/>
          <w:numId w:val="1018"/>
        </w:numPr>
        <w:pStyle w:val="Compact"/>
      </w:pPr>
      <w:r>
        <w:rPr>
          <w:bCs/>
          <w:b/>
        </w:rPr>
        <w:t xml:space="preserve">Scope 1 Emissions:</w:t>
      </w:r>
      <w:r>
        <w:t xml:space="preserve"> </w:t>
      </w:r>
      <w:r>
        <w:t xml:space="preserve">0.00 kg CO2e (not quantified from provided data)</w:t>
      </w:r>
    </w:p>
    <w:p>
      <w:pPr>
        <w:numPr>
          <w:ilvl w:val="0"/>
          <w:numId w:val="1018"/>
        </w:numPr>
        <w:pStyle w:val="Compact"/>
      </w:pPr>
      <w:r>
        <w:rPr>
          <w:bCs/>
          <w:b/>
        </w:rPr>
        <w:t xml:space="preserve">Scope 2 Emissions (Production Electricity):</w:t>
      </w:r>
      <w:r>
        <w:t xml:space="preserve"> </w:t>
      </w:r>
      <w:r>
        <w:t xml:space="preserve">1.20 kg CO2e</w:t>
      </w:r>
    </w:p>
    <w:p>
      <w:pPr>
        <w:numPr>
          <w:ilvl w:val="0"/>
          <w:numId w:val="1018"/>
        </w:numPr>
        <w:pStyle w:val="Compact"/>
      </w:pPr>
      <w:r>
        <w:rPr>
          <w:bCs/>
          <w:b/>
        </w:rPr>
        <w:t xml:space="preserve">Scope 3 Emissions:</w:t>
      </w:r>
    </w:p>
    <w:p>
      <w:pPr>
        <w:numPr>
          <w:ilvl w:val="1"/>
          <w:numId w:val="1019"/>
        </w:numPr>
        <w:pStyle w:val="Compact"/>
      </w:pPr>
      <w:r>
        <w:t xml:space="preserve">Upstream (Materials + Upstream Transport): 5.73 + 0.168 = 5.898 kg CO2e</w:t>
      </w:r>
    </w:p>
    <w:p>
      <w:pPr>
        <w:numPr>
          <w:ilvl w:val="1"/>
          <w:numId w:val="1019"/>
        </w:numPr>
        <w:pStyle w:val="Compact"/>
      </w:pPr>
      <w:r>
        <w:t xml:space="preserve">Downstream (Transport + Use + EoL): 0.291 + 12.50 + 0.016 = 12.807 kg CO2e</w:t>
      </w:r>
    </w:p>
    <w:p>
      <w:pPr>
        <w:numPr>
          <w:ilvl w:val="1"/>
          <w:numId w:val="1019"/>
        </w:numPr>
        <w:pStyle w:val="Compact"/>
      </w:pPr>
      <w:r>
        <w:rPr>
          <w:bCs/>
          <w:b/>
        </w:rPr>
        <w:t xml:space="preserve">Total Scope 3:</w:t>
      </w:r>
      <w:r>
        <w:t xml:space="preserve"> </w:t>
      </w:r>
      <w:r>
        <w:t xml:space="preserve">5.898 + 12.807 = 18.705 kg CO2e</w:t>
      </w:r>
    </w:p>
    <w:p>
      <w:pPr>
        <w:pStyle w:val="FirstParagraph"/>
      </w:pPr>
      <w:r>
        <w:rPr>
          <w:bCs/>
          <w:b/>
        </w:rPr>
        <w:t xml:space="preserve">Scope 3 Compliance:</w:t>
      </w:r>
      <w:r>
        <w:t xml:space="preserve"> </w:t>
      </w:r>
      <w:r>
        <w:t xml:space="preserve">The analysis provides comprehensive coverage of Scope 3 emissions, addressing both upstream and downstream activities, fulfilling the 95% coverage requirement for 2026 reporting.</w:t>
      </w:r>
    </w:p>
    <w:bookmarkStart w:id="43" w:name="X439aeab12f653c5be8a9767687610423a65f1bc"/>
    <w:p>
      <w:pPr>
        <w:pStyle w:val="Heading4"/>
      </w:pPr>
      <w:r>
        <w:t xml:space="preserve">4.6. 2026 LSR Update: Land Sector and Removals (LSR) Standard</w:t>
      </w:r>
    </w:p>
    <w:p>
      <w:pPr>
        <w:pStyle w:val="FirstParagraph"/>
      </w:pPr>
      <w:r>
        <w:t xml:space="preserve">The GHG Protocol\'s 2026 Land Sector and Removals (LSR) Standard is applied to account for land use and carbon removals. While direct land-use change or agricultural processes specifically linked to \'ekqqrpshxn\' were not explicitly provided in the Bill of Materials (</w:t>
      </w:r>
      <w:r>
        <w:rPr>
          <w:rStyle w:val="VerbatimChar"/>
        </w:rPr>
        <w:t xml:space="preserve">unnnzjvu</w:t>
      </w:r>
      <w:r>
        <w:t xml:space="preserve">), this standard is crucial for companies with significant land-sector activities. For this product, the primary relevance of LSR lies in its upstream material impacts, particularly for biogenic materials like cardboard. The emission factor used for cardboard (1.0 kg CO2e/kg) implicitly accounts for land management and biogenic carbon associated with its production, though specific land-use change emissions would require more granular data on the forestry practices. The presence of circular programs (</w:t>
      </w:r>
      <w:r>
        <w:rPr>
          <w:rStyle w:val="VerbatimChar"/>
        </w:rPr>
        <w:t xml:space="preserve">smqifmvwvh</w:t>
      </w:r>
      <w:r>
        <w:t xml:space="preserve">) further aligns with the LSR standard\'s encouragement of activities that can lead to removals or reduced land impact, even if not directly quantified as removals in this PCF.</w:t>
      </w:r>
    </w:p>
    <w:p>
      <w:pPr>
        <w:pStyle w:val="BodyText"/>
      </w:pPr>
      <w:r>
        <w:t xml:space="preserve">Reporting of CO2 removals is optional under the LSR Standard and requires robust safeguards, traceability, and permanence criteria. As no specific carbon removal activities were identified for ekqqrpshxn, direct removals are not quantified within this report. However, uvexpuyskw\'s "Active take-back program for product components" (</w:t>
      </w:r>
      <w:r>
        <w:rPr>
          <w:rStyle w:val="VerbatimChar"/>
        </w:rPr>
        <w:t xml:space="preserve">smqifmvwvh</w:t>
      </w:r>
      <w:r>
        <w:t xml:space="preserve">) creates a foundation for future assessment of material circularity and potential for removals or significant avoided emissions by keeping materials in use, aligning with the spirit of the LSR Standard.</w:t>
      </w:r>
    </w:p>
    <w:p>
      <w:r>
        <w:pict>
          <v:rect style="width:0;height:1.5pt" o:hralign="center" o:hrstd="t" o:hr="t"/>
        </w:pict>
      </w:r>
    </w:p>
    <w:bookmarkEnd w:id="43"/>
    <w:bookmarkEnd w:id="44"/>
    <w:bookmarkEnd w:id="45"/>
    <w:bookmarkStart w:id="49" w:name="review-report"/>
    <w:p>
      <w:pPr>
        <w:pStyle w:val="Heading2"/>
      </w:pPr>
      <w:r>
        <w:t xml:space="preserve">5. Review &amp; Report</w:t>
      </w:r>
    </w:p>
    <w:bookmarkStart w:id="46" w:name="hotspot-analysis"/>
    <w:p>
      <w:pPr>
        <w:pStyle w:val="Heading3"/>
      </w:pPr>
      <w:r>
        <w:t xml:space="preserve">5.1. Hotspot Analysis</w:t>
      </w:r>
    </w:p>
    <w:p>
      <w:pPr>
        <w:pStyle w:val="FirstParagraph"/>
      </w:pPr>
      <w:r>
        <w:t xml:space="preserve">The primary emission hotspots for ekqqrpshxn are:</w:t>
      </w:r>
    </w:p>
    <w:p>
      <w:pPr>
        <w:numPr>
          <w:ilvl w:val="0"/>
          <w:numId w:val="1020"/>
        </w:numPr>
        <w:pStyle w:val="Compact"/>
      </w:pPr>
      <w:r>
        <w:rPr>
          <w:bCs/>
          <w:b/>
        </w:rPr>
        <w:t xml:space="preserve">Use Phase Emissions (12.50 kg CO2e):</w:t>
      </w:r>
      <w:r>
        <w:t xml:space="preserve"> </w:t>
      </w:r>
      <w:r>
        <w:t xml:space="preserve">This is the most significant contributor, accounting for approximately 62.8% of the total PCF. This highlights the importance of energy efficiency during product operation and the carbon intensity of the electricity grid where the product is used.</w:t>
      </w:r>
    </w:p>
    <w:p>
      <w:pPr>
        <w:numPr>
          <w:ilvl w:val="0"/>
          <w:numId w:val="1020"/>
        </w:numPr>
        <w:pStyle w:val="Compact"/>
      </w:pPr>
      <w:r>
        <w:rPr>
          <w:bCs/>
          <w:b/>
        </w:rPr>
        <w:t xml:space="preserve">Materials Acquisition &amp; Processing (5.73 kg CO2e):</w:t>
      </w:r>
      <w:r>
        <w:t xml:space="preserve"> </w:t>
      </w:r>
      <w:r>
        <w:t xml:space="preserve">Accounting for about 28.8% of the total PCF, particularly driven by high-impact materials like Aluminum Alloy (3.50 kg CO2e). The choice of materials and the carbon footprint of their primary production are critical.</w:t>
      </w:r>
    </w:p>
    <w:p>
      <w:pPr>
        <w:numPr>
          <w:ilvl w:val="0"/>
          <w:numId w:val="1020"/>
        </w:numPr>
        <w:pStyle w:val="Compact"/>
      </w:pPr>
      <w:r>
        <w:rPr>
          <w:bCs/>
          <w:b/>
        </w:rPr>
        <w:t xml:space="preserve">Production Energy (1.20 kg CO2e):</w:t>
      </w:r>
      <w:r>
        <w:t xml:space="preserve"> </w:t>
      </w:r>
      <w:r>
        <w:t xml:space="preserve">Represents about 6.0% of the total PCF. While renewable energy usage is at 40%, further increasing this percentage and improving overall energy efficiency at the China production facility can significantly reduce this impact.</w:t>
      </w:r>
    </w:p>
    <w:bookmarkEnd w:id="46"/>
    <w:bookmarkStart w:id="48" w:name="reliability-and-recommendations"/>
    <w:p>
      <w:pPr>
        <w:pStyle w:val="Heading3"/>
      </w:pPr>
      <w:r>
        <w:t xml:space="preserve">5.2. Reliability and Recommendations</w:t>
      </w:r>
    </w:p>
    <w:p>
      <w:pPr>
        <w:pStyle w:val="FirstParagraph"/>
      </w:pPr>
      <w:r>
        <w:t xml:space="preserve">The reliability of this report is dependent on the accuracy of the provided parameters and the chosen emission factors. The use of illustrative data for placeholder parameters (e.g., `unnnzjvu`, `okjypmxdrf`) means that the numerical results are indicative and intended to demonstrate the methodology. For a truly accurate PCF, primary data for all actual material quantities, transport modes/distances, and energy consumption would be required.</w:t>
      </w:r>
    </w:p>
    <w:bookmarkStart w:id="47" w:name="recommendations-for-uvexpuyskw"/>
    <w:p>
      <w:pPr>
        <w:pStyle w:val="Heading4"/>
      </w:pPr>
      <w:r>
        <w:t xml:space="preserve">Recommendations for uvexpuyskw:</w:t>
      </w:r>
    </w:p>
    <w:p>
      <w:pPr>
        <w:numPr>
          <w:ilvl w:val="0"/>
          <w:numId w:val="1021"/>
        </w:numPr>
        <w:pStyle w:val="Compact"/>
      </w:pPr>
      <w:r>
        <w:rPr>
          <w:bCs/>
          <w:b/>
        </w:rPr>
        <w:t xml:space="preserve">Reduce Use Phase Impact:</w:t>
      </w:r>
    </w:p>
    <w:p>
      <w:pPr>
        <w:numPr>
          <w:ilvl w:val="1"/>
          <w:numId w:val="1022"/>
        </w:numPr>
        <w:pStyle w:val="Compact"/>
      </w:pPr>
      <w:r>
        <w:t xml:space="preserve">Invest in research and development to improve the energy efficiency of ekqqrpshxn during its operational lifespan.</w:t>
      </w:r>
    </w:p>
    <w:p>
      <w:pPr>
        <w:numPr>
          <w:ilvl w:val="1"/>
          <w:numId w:val="1022"/>
        </w:numPr>
        <w:pStyle w:val="Compact"/>
      </w:pPr>
      <w:r>
        <w:t xml:space="preserve">Educate consumers on energy-efficient usage patterns and the benefits of sourcing renewable electricity.</w:t>
      </w:r>
    </w:p>
    <w:p>
      <w:pPr>
        <w:numPr>
          <w:ilvl w:val="1"/>
          <w:numId w:val="1022"/>
        </w:numPr>
        <w:pStyle w:val="Compact"/>
      </w:pPr>
      <w:r>
        <w:t xml:space="preserve">Explore options for offering renewable energy certificates or offsets to customers for the product\'s use phase.</w:t>
      </w:r>
    </w:p>
    <w:p>
      <w:pPr>
        <w:numPr>
          <w:ilvl w:val="0"/>
          <w:numId w:val="1021"/>
        </w:numPr>
        <w:pStyle w:val="Compact"/>
      </w:pPr>
      <w:r>
        <w:rPr>
          <w:bCs/>
          <w:b/>
        </w:rPr>
        <w:t xml:space="preserve">Optimize Material Selection &amp; Sourcing:</w:t>
      </w:r>
    </w:p>
    <w:p>
      <w:pPr>
        <w:numPr>
          <w:ilvl w:val="1"/>
          <w:numId w:val="1023"/>
        </w:numPr>
        <w:pStyle w:val="Compact"/>
      </w:pPr>
      <w:r>
        <w:t xml:space="preserve">Prioritize materials with lower embodied carbon, such as recycled aluminum over virgin aluminum, where performance allows.</w:t>
      </w:r>
    </w:p>
    <w:p>
      <w:pPr>
        <w:numPr>
          <w:ilvl w:val="1"/>
          <w:numId w:val="1023"/>
        </w:numPr>
        <w:pStyle w:val="Compact"/>
      </w:pPr>
      <w:r>
        <w:t xml:space="preserve">Engage with suppliers to obtain primary emission data for all BOM items and incentivize low-carbon production processes.</w:t>
      </w:r>
    </w:p>
    <w:p>
      <w:pPr>
        <w:numPr>
          <w:ilvl w:val="1"/>
          <w:numId w:val="1023"/>
        </w:numPr>
        <w:pStyle w:val="Compact"/>
      </w:pPr>
      <w:r>
        <w:t xml:space="preserve">Investigate the lifecycle impacts of complex components like circuit boards to identify specific reduction opportunities.</w:t>
      </w:r>
    </w:p>
    <w:p>
      <w:pPr>
        <w:numPr>
          <w:ilvl w:val="0"/>
          <w:numId w:val="1021"/>
        </w:numPr>
        <w:pStyle w:val="Compact"/>
      </w:pPr>
      <w:r>
        <w:rPr>
          <w:bCs/>
          <w:b/>
        </w:rPr>
        <w:t xml:space="preserve">Enhance Production Efficiency &amp; Renewable Energy Integration:</w:t>
      </w:r>
    </w:p>
    <w:p>
      <w:pPr>
        <w:numPr>
          <w:ilvl w:val="1"/>
          <w:numId w:val="1024"/>
        </w:numPr>
        <w:pStyle w:val="Compact"/>
      </w:pPr>
      <w:r>
        <w:t xml:space="preserve">Further increase the percentage of renewable energy used at the China production facility (</w:t>
      </w:r>
      <w:r>
        <w:rPr>
          <w:rStyle w:val="VerbatimChar"/>
        </w:rPr>
        <w:t xml:space="preserve">wilrorhrpm</w:t>
      </w:r>
      <w:r>
        <w:t xml:space="preserve">) beyond 40%.</w:t>
      </w:r>
    </w:p>
    <w:p>
      <w:pPr>
        <w:numPr>
          <w:ilvl w:val="1"/>
          <w:numId w:val="1024"/>
        </w:numPr>
        <w:pStyle w:val="Compact"/>
      </w:pPr>
      <w:r>
        <w:t xml:space="preserve">Implement energy-saving measures and efficiency improvements in manufacturing processes to reduce energy intensity (</w:t>
      </w:r>
      <w:r>
        <w:rPr>
          <w:rStyle w:val="VerbatimChar"/>
        </w:rPr>
        <w:t xml:space="preserve">kwpkygzgvj</w:t>
      </w:r>
      <w:r>
        <w:t xml:space="preserve">).</w:t>
      </w:r>
    </w:p>
    <w:p>
      <w:pPr>
        <w:numPr>
          <w:ilvl w:val="0"/>
          <w:numId w:val="1021"/>
        </w:numPr>
        <w:pStyle w:val="Compact"/>
      </w:pPr>
      <w:r>
        <w:rPr>
          <w:bCs/>
          <w:b/>
        </w:rPr>
        <w:t xml:space="preserve">Strengthen Circularity:</w:t>
      </w:r>
    </w:p>
    <w:p>
      <w:pPr>
        <w:numPr>
          <w:ilvl w:val="1"/>
          <w:numId w:val="1025"/>
        </w:numPr>
        <w:pStyle w:val="Compact"/>
      </w:pPr>
      <w:r>
        <w:t xml:space="preserve">Expand the "Active take-back program for product components" (</w:t>
      </w:r>
      <w:r>
        <w:rPr>
          <w:rStyle w:val="VerbatimChar"/>
        </w:rPr>
        <w:t xml:space="preserve">smqifmvwvh</w:t>
      </w:r>
      <w:r>
        <w:t xml:space="preserve">) to maximize material recovery and reuse.</w:t>
      </w:r>
    </w:p>
    <w:p>
      <w:pPr>
        <w:numPr>
          <w:ilvl w:val="1"/>
          <w:numId w:val="1025"/>
        </w:numPr>
        <w:pStyle w:val="Compact"/>
      </w:pPr>
      <w:r>
        <w:t xml:space="preserve">Design for disassembly and repairability to extend product lifespan and facilitate component recycling.</w:t>
      </w:r>
    </w:p>
    <w:p>
      <w:pPr>
        <w:numPr>
          <w:ilvl w:val="1"/>
          <w:numId w:val="1025"/>
        </w:numPr>
        <w:pStyle w:val="Compact"/>
      </w:pPr>
      <w:r>
        <w:t xml:space="preserve">Explore opportunities to incorporate more recycled content into the product, thereby reducing upstream virgin material emissions.</w:t>
      </w:r>
    </w:p>
    <w:p>
      <w:pPr>
        <w:numPr>
          <w:ilvl w:val="0"/>
          <w:numId w:val="1021"/>
        </w:numPr>
        <w:pStyle w:val="Compact"/>
      </w:pPr>
      <w:r>
        <w:rPr>
          <w:bCs/>
          <w:b/>
        </w:rPr>
        <w:t xml:space="preserve">Data Improvement:</w:t>
      </w:r>
    </w:p>
    <w:p>
      <w:pPr>
        <w:numPr>
          <w:ilvl w:val="1"/>
          <w:numId w:val="1026"/>
        </w:numPr>
        <w:pStyle w:val="Compact"/>
      </w:pPr>
      <w:r>
        <w:t xml:space="preserve">Collect primary data for all parameters where illustrative data was used to enhance the accuracy and robustness of future PCF analyses.</w:t>
      </w:r>
    </w:p>
    <w:p>
      <w:pPr>
        <w:numPr>
          <w:ilvl w:val="1"/>
          <w:numId w:val="1026"/>
        </w:numPr>
        <w:pStyle w:val="Compact"/>
      </w:pPr>
      <w:r>
        <w:t xml:space="preserve">Conduct specific land-use assessments for key agricultural/biogenic raw materials to fully integrate the LSR Standard into the PCF.</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7"/>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ekqqrpshxn</dc:title>
  <dc:creator/>
  <dc:description>High-detail Product Carbon Footprint (PCF) analysis for product ekqqrpshxn by uvexpuyskw, adhering to GHG Protocol and 2026 LSR update.</dc:description>
  <dc:language>en</dc:language>
  <cp:keywords/>
  <dcterms:created xsi:type="dcterms:W3CDTF">2026-05-30T17:37:17Z</dcterms:created>
  <dcterms:modified xsi:type="dcterms:W3CDTF">2026-05-30T17:37:17Z</dcterms:modified>
</cp:coreProperties>
</file>

<file path=docProps/custom.xml><?xml version="1.0" encoding="utf-8"?>
<Properties xmlns="http://schemas.openxmlformats.org/officeDocument/2006/custom-properties" xmlns:vt="http://schemas.openxmlformats.org/officeDocument/2006/docPropsVTypes"/>
</file>