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ekfzfmmlju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ekfzfmmlju</w:t>
      </w:r>
    </w:p>
    <w:p>
      <w:pPr>
        <w:pStyle w:val="BodyText"/>
      </w:pPr>
      <w:r>
        <w:rPr>
          <w:bCs/>
          <w:b/>
        </w:rPr>
        <w:t xml:space="preserve">Company Name:</w:t>
      </w:r>
      <w:r>
        <w:t xml:space="preserve"> </w:t>
      </w:r>
      <w:r>
        <w:t xml:space="preserve">qifmfgsuur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hnwslqpouz</w:t>
      </w:r>
    </w:p>
    <w:p>
      <w:pPr>
        <w:pStyle w:val="BodyText"/>
      </w:pPr>
      <w:r>
        <w:t xml:space="preserve">This report is generated based on available data, industry-average emission factors, and prevailing sustainability standards. Specific primary data from suppliers would enhance accuracy.</w:t>
      </w:r>
    </w:p>
    <w:bookmarkEnd w:id="20"/>
    <w:bookmarkStart w:id="44" w:name="Xa87d010c1fd868336511b306fbd202996615f12"/>
    <w:p>
      <w:pPr>
        <w:pStyle w:val="Heading1"/>
      </w:pPr>
      <w:r>
        <w:t xml:space="preserve">Product Carbon Footprint Analysis Report</w:t>
      </w:r>
    </w:p>
    <w:bookmarkStart w:id="21" w:name="for-product-ekfzfmmlju"/>
    <w:p>
      <w:pPr>
        <w:pStyle w:val="Heading2"/>
      </w:pPr>
      <w:r>
        <w:t xml:space="preserve">For Product: ekfzfmmlju</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hnwslqpouz, Senior Sustainability Consultant</w:t>
      </w:r>
    </w:p>
    <w:p>
      <w:pPr>
        <w:pStyle w:val="BodyText"/>
      </w:pPr>
      <w:r>
        <w:rPr>
          <w:bCs/>
          <w:b/>
        </w:rPr>
        <w:t xml:space="preserve">Company:</w:t>
      </w:r>
      <w:r>
        <w:t xml:space="preserve"> </w:t>
      </w:r>
      <w:r>
        <w:t xml:space="preserve">qifmfgsuur</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ekfzfmmlju, manufactured by qifmfgsuur. The analysis adheres to the Greenhouse Gas (GHG) Protocol standards, providing a comprehensive assessment of greenhouse gas emissions across the product\'s entire lifecycle. The primary goal is to identify emission hotspots and inform strategies for reduction and improved sustainability performance. The assessment incorporates detailed material inputs, manufacturing energy consumption, transportation logistics, product use-phase, and end-of-life scenarios.</w:t>
      </w:r>
    </w:p>
    <w:p>
      <w:pPr>
        <w:pStyle w:val="BodyText"/>
      </w:pPr>
      <w:r>
        <w:t xml:space="preserve">In line with the 2026 GHG Protocol updates, particular attention has been given to the Land Sector and Removals (LSR) Standard and stringent Scope 3 reporting requirements, aiming for at least 95% coverage of relevant value chain emissions.</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Product Carbon Footprint (PCF) analysis for ekfzfmmlju follows the five-step methodology prescribed by the GHG Protocol Product Standard, which is a globally recognized framework for quantifying and reporting GHG emissions of products.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stages and inventory flows (LCI).</w:t>
      </w:r>
    </w:p>
    <w:p>
      <w:pPr>
        <w:numPr>
          <w:ilvl w:val="0"/>
          <w:numId w:val="1001"/>
        </w:numPr>
        <w:pStyle w:val="Compact"/>
      </w:pPr>
      <w:r>
        <w:rPr>
          <w:bCs/>
          <w:b/>
        </w:rPr>
        <w:t xml:space="preserve">Collect Data:</w:t>
      </w:r>
      <w:r>
        <w:t xml:space="preserve"> </w:t>
      </w:r>
      <w:r>
        <w:t xml:space="preserve">Gather primary and secondary data points for all identified inputs and outputs.</w:t>
      </w:r>
    </w:p>
    <w:p>
      <w:pPr>
        <w:numPr>
          <w:ilvl w:val="0"/>
          <w:numId w:val="1001"/>
        </w:numPr>
        <w:pStyle w:val="Compact"/>
      </w:pPr>
      <w:r>
        <w:rPr>
          <w:bCs/>
          <w:b/>
        </w:rPr>
        <w:t xml:space="preserve">Calculate Emissions:</w:t>
      </w:r>
      <w:r>
        <w:t xml:space="preserve"> </w:t>
      </w:r>
      <w:r>
        <w:t xml:space="preserve">Quantify GHG emissions for each life cycle stage using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rPr>
          <w:bCs/>
          <w:b/>
        </w:rPr>
        <w:t xml:space="preserve">Accounting Standard:</w:t>
      </w:r>
      <w:r>
        <w:t xml:space="preserve"> </w:t>
      </w:r>
      <w:r>
        <w:t xml:space="preserve">GHG Protocol.</w:t>
      </w:r>
    </w:p>
    <w:bookmarkStart w:id="23" w:name="ghg-protocol-adherence-and-2026-updates"/>
    <w:p>
      <w:pPr>
        <w:pStyle w:val="Heading3"/>
      </w:pPr>
      <w:r>
        <w:t xml:space="preserve">GHG Protocol Adherence and 2026 Updates</w:t>
      </w:r>
    </w:p>
    <w:p>
      <w:pPr>
        <w:pStyle w:val="FirstParagraph"/>
      </w:pPr>
      <w:r>
        <w:t xml:space="preserve">This analysis categorizes emissions into Scope 1 (direct emissions), Scope 2 (purchased energy), and Scope 3 (value chain emissions) as defined by the GHG Protocol.</w:t>
      </w:r>
    </w:p>
    <w:p>
      <w:pPr>
        <w:numPr>
          <w:ilvl w:val="0"/>
          <w:numId w:val="1002"/>
        </w:numPr>
        <w:pStyle w:val="Compact"/>
      </w:pPr>
      <w:r>
        <w:rPr>
          <w:bCs/>
          <w:b/>
        </w:rPr>
        <w:t xml:space="preserve">2026 LSR Update:</w:t>
      </w:r>
      <w:r>
        <w:t xml:space="preserve"> </w:t>
      </w:r>
      <w:r>
        <w:t xml:space="preserve">The Land Sector and Removals (LSR) Standard, effective January 1, 2027, provides requirements and guidance for accounting, reporting, and tracking land emissions and CO2 removals. While direct land-use change impacts were not explicitly provided for ekfzfmmlju, the principles of transparent accounting for potential land-based carbon removals or emissions are acknowledged and considered for future detailed assessments. The accompanying guidance for the LSR Standard is expected in Q2 2026.</w:t>
      </w:r>
    </w:p>
    <w:p>
      <w:pPr>
        <w:numPr>
          <w:ilvl w:val="0"/>
          <w:numId w:val="1002"/>
        </w:numPr>
        <w:pStyle w:val="Compact"/>
      </w:pPr>
      <w:r>
        <w:rPr>
          <w:bCs/>
          <w:b/>
        </w:rPr>
        <w:t xml:space="preserve">Scope 3 Compliance:</w:t>
      </w:r>
      <w:r>
        <w:t xml:space="preserve"> </w:t>
      </w:r>
      <w:r>
        <w:t xml:space="preserve">The 2026 GHG Protocol revisions emphasize a mandatory 95% coverage rule for total relevant Scope 3 emissions to claim conformance, moving away from "best-effort" estimates towards a financial-grade, auditable system. This report endeavors to provide comprehensive coverage of Scope 3 categories to meet this stringent requirement, disaggregating emissions data by source type (primary vs. secondary) where feasible.</w:t>
      </w:r>
    </w:p>
    <w:p>
      <w:r>
        <w:pict>
          <v:rect style="width:0;height:1.5pt" o:hralign="center" o:hrstd="t" o:hr="t"/>
        </w:pict>
      </w:r>
    </w:p>
    <w:bookmarkEnd w:id="23"/>
    <w:bookmarkEnd w:id="24"/>
    <w:bookmarkStart w:id="25" w:name="define-scope"/>
    <w:p>
      <w:pPr>
        <w:pStyle w:val="Heading2"/>
      </w:pPr>
      <w:r>
        <w:t xml:space="preserve">2. Define Scope</w:t>
      </w:r>
    </w:p>
    <w:p>
      <w:pPr>
        <w:numPr>
          <w:ilvl w:val="0"/>
          <w:numId w:val="1003"/>
        </w:numPr>
        <w:pStyle w:val="Compact"/>
      </w:pPr>
      <w:r>
        <w:rPr>
          <w:bCs/>
          <w:b/>
        </w:rPr>
        <w:t xml:space="preserve">Functional Unit:</w:t>
      </w:r>
      <w:r>
        <w:t xml:space="preserve"> </w:t>
      </w:r>
      <w:r>
        <w:t xml:space="preserve">1.0 unit of ekfzfmmlju.</w:t>
      </w:r>
    </w:p>
    <w:p>
      <w:pPr>
        <w:numPr>
          <w:ilvl w:val="0"/>
          <w:numId w:val="1003"/>
        </w:numPr>
        <w:pStyle w:val="Compact"/>
      </w:pPr>
      <w:r>
        <w:rPr>
          <w:bCs/>
          <w:b/>
        </w:rPr>
        <w:t xml:space="preserve">System Boundary:</w:t>
      </w:r>
      <w:r>
        <w:t xml:space="preserve"> </w:t>
      </w:r>
      <w:r>
        <w:t xml:space="preserve">Cradle-to-Grave. Although the parameter specified "factory_gate" as the system boundary, the subsequent requirements for "Use Phase" and "End-of-Life" necessitate a full cradle-to-grave analysis to provide a complete Product Carbon Footprint. The "factory_gate" boundary is specifically addressed within the manufacturing phase for clarity. A PCF typically covers the entire lifecycle, from material acquisition to end-of-life treatment.</w:t>
      </w:r>
    </w:p>
    <w:p>
      <w:pPr>
        <w:numPr>
          <w:ilvl w:val="0"/>
          <w:numId w:val="1003"/>
        </w:numPr>
        <w:pStyle w:val="Compact"/>
      </w:pPr>
      <w:r>
        <w:rPr>
          <w:bCs/>
          <w:b/>
        </w:rPr>
        <w:t xml:space="preserve">Geographic Scope:</w:t>
      </w:r>
      <w:r>
        <w:t xml:space="preserve"> </w:t>
      </w:r>
      <w:r>
        <w:t xml:space="preserve">Final Production Country: China. Supply Chain Focus: Europe Focused (for upstream logistics).</w:t>
      </w:r>
    </w:p>
    <w:p>
      <w:pPr>
        <w:numPr>
          <w:ilvl w:val="0"/>
          <w:numId w:val="1003"/>
        </w:numPr>
        <w:pStyle w:val="Compact"/>
      </w:pPr>
      <w:r>
        <w:rPr>
          <w:bCs/>
          <w:b/>
        </w:rPr>
        <w:t xml:space="preserve">Allocation:</w:t>
      </w:r>
      <w:r>
        <w:t xml:space="preserve"> </w:t>
      </w:r>
      <w:r>
        <w:t xml:space="preserve">Emissions are allocated directly to the functional unit. Co-product allocation methods are not applied as the focus is solely on the product ekfzfmmlju.</w:t>
      </w:r>
    </w:p>
    <w:p>
      <w:r>
        <w:pict>
          <v:rect style="width:0;height:1.5pt" o:hralign="center" o:hrstd="t" o:hr="t"/>
        </w:pict>
      </w:r>
    </w:p>
    <w:bookmarkEnd w:id="25"/>
    <w:bookmarkStart w:id="31" w:name="X7f632789b9c60d7908f0b0dc7a7527c35d8a1d8"/>
    <w:p>
      <w:pPr>
        <w:pStyle w:val="Heading2"/>
      </w:pPr>
      <w:r>
        <w:t xml:space="preserve">3. Map Lifecycle &amp; Collect Data (LCI Inventory Stages)</w:t>
      </w:r>
    </w:p>
    <w:p>
      <w:pPr>
        <w:pStyle w:val="FirstParagraph"/>
      </w:pPr>
      <w:r>
        <w:t xml:space="preserve">The lifecycle of ekfzfmmlju is broken down into four primary stages: Material Acquisition &amp; Pre-processing, Manufacturing, Distribution &amp; Transportation, Use Phase, and End-of-Life. Data was collected and estimated using the provided parameters and industry-standard emission factors.</w:t>
      </w:r>
    </w:p>
    <w:bookmarkStart w:id="26" w:name="X57e3bfc3806ddd91a0c2843ba30b0541de627a2"/>
    <w:p>
      <w:pPr>
        <w:pStyle w:val="Heading3"/>
      </w:pPr>
      <w:r>
        <w:t xml:space="preserve">3.1. Detailed Bill of Materials (BOM): tidktjqe (Simulated Data)</w:t>
      </w:r>
    </w:p>
    <w:p>
      <w:pPr>
        <w:pStyle w:val="FirstParagraph"/>
      </w:pPr>
      <w:r>
        <w:t xml:space="preserve">The following Bill of Materials (BOM) provides a high-accuracy input for material impact calculation. Emission factors are representative industry averages for primary material production.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16.91</w:t>
            </w:r>
          </w:p>
        </w:tc>
        <w:tc>
          <w:tcPr/>
          <w:p>
            <w:pPr>
              <w:pStyle w:val="Compact"/>
              <w:jc w:val="left"/>
            </w:pPr>
            <w:r>
              <w:t xml:space="preserve">13.528</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M003</w:t>
            </w:r>
          </w:p>
        </w:tc>
        <w:tc>
          <w:tcPr/>
          <w:p>
            <w:pPr>
              <w:pStyle w:val="Compact"/>
              <w:jc w:val="left"/>
            </w:pPr>
            <w:r>
              <w:t xml:space="preserve">Steel Internal Frame</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1.90</w:t>
            </w:r>
          </w:p>
        </w:tc>
        <w:tc>
          <w:tcPr/>
          <w:p>
            <w:pPr>
              <w:pStyle w:val="Compact"/>
              <w:jc w:val="left"/>
            </w:pPr>
            <w:r>
              <w:t xml:space="preserve">0.570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1.000</w:t>
            </w:r>
          </w:p>
        </w:tc>
      </w:tr>
      <w:tr>
        <w:tc>
          <w:tcPr/>
          <w:p>
            <w:pPr>
              <w:pStyle w:val="Compact"/>
              <w:jc w:val="left"/>
            </w:pPr>
            <w:r>
              <w:t xml:space="preserve">M005</w:t>
            </w:r>
          </w:p>
        </w:tc>
        <w:tc>
          <w:tcPr/>
          <w:p>
            <w:pPr>
              <w:pStyle w:val="Compact"/>
              <w:jc w:val="left"/>
            </w:pPr>
            <w:r>
              <w:t xml:space="preserve">Electronic Components (mixed)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0.500</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Chemical/Energy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1.600</w:t>
            </w:r>
          </w:p>
        </w:tc>
      </w:tr>
      <w:tr>
        <w:tc>
          <w:tcPr>
            <w:gridSpan w:val="7"/>
          </w:tcPr>
          <w:p>
            <w:pPr>
              <w:pStyle w:val="Compact"/>
              <w:jc w:val="right"/>
            </w:pPr>
            <w:r>
              <w:t xml:space="preserve">Subtotal Material Carbon Footprint (kg CO2e):</w:t>
            </w:r>
          </w:p>
        </w:tc>
        <w:tc>
          <w:tcPr/>
          <w:p>
            <w:pPr>
              <w:pStyle w:val="Compact"/>
              <w:jc w:val="left"/>
            </w:pPr>
            <w:r>
              <w:t xml:space="preserve">18.448</w:t>
            </w:r>
          </w:p>
        </w:tc>
      </w:tr>
    </w:tbl>
    <w:p>
      <w:pPr>
        <w:pStyle w:val="BodyText"/>
      </w:pPr>
      <w:r>
        <w:rPr>
          <w:iCs/>
          <w:i/>
        </w:rPr>
        <w:t xml:space="preserve">Note: Emission factors for materials are derived from commonly referenced industry averages (e.g., for Aluminum, Plastic, Steel, and general electronics). Specific supplier data (primary data) would offer higher accuracy.</w:t>
      </w:r>
    </w:p>
    <w:bookmarkEnd w:id="26"/>
    <w:bookmarkStart w:id="27" w:name="X8e99e252422f8430226a46a1b01eff3c3824c0d"/>
    <w:p>
      <w:pPr>
        <w:pStyle w:val="Heading3"/>
      </w:pPr>
      <w:r>
        <w:t xml:space="preserve">3.2. Manufacturing Phase Inputs (Factory Gate Boundary)</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Energy Intensity (kWh/unit):</w:t>
      </w:r>
      <w:r>
        <w:t xml:space="preserve"> </w:t>
      </w:r>
      <w:r>
        <w:t xml:space="preserve">emsedprnhx (25 kWh/unit)</w:t>
      </w:r>
    </w:p>
    <w:p>
      <w:pPr>
        <w:numPr>
          <w:ilvl w:val="0"/>
          <w:numId w:val="1004"/>
        </w:numPr>
        <w:pStyle w:val="Compact"/>
      </w:pPr>
      <w:r>
        <w:rPr>
          <w:bCs/>
          <w:b/>
        </w:rPr>
        <w:t xml:space="preserve">Renewable Energy Usage:</w:t>
      </w:r>
      <w:r>
        <w:t xml:space="preserve"> </w:t>
      </w:r>
      <w:r>
        <w:t xml:space="preserve">tzfjwjmzqj (60% renewable)</w:t>
      </w:r>
    </w:p>
    <w:p>
      <w:pPr>
        <w:numPr>
          <w:ilvl w:val="0"/>
          <w:numId w:val="1004"/>
        </w:numPr>
        <w:pStyle w:val="Compact"/>
      </w:pPr>
      <w:r>
        <w:rPr>
          <w:bCs/>
          <w:b/>
        </w:rPr>
        <w:t xml:space="preserve">Grid Electricity Emission Factor (China):</w:t>
      </w:r>
      <w:r>
        <w:t xml:space="preserve"> </w:t>
      </w:r>
      <w:r>
        <w:t xml:space="preserve">0.556 kg CO2e/kWh (This factor represents the average grid mix in China).</w:t>
      </w:r>
    </w:p>
    <w:bookmarkEnd w:id="27"/>
    <w:bookmarkStart w:id="28" w:name="transport-distribution-logistics"/>
    <w:p>
      <w:pPr>
        <w:pStyle w:val="Heading3"/>
      </w:pPr>
      <w:r>
        <w:t xml:space="preserve">3.3. Transport &amp; Distribution Logistics</w:t>
      </w:r>
    </w:p>
    <w:p>
      <w:pPr>
        <w:numPr>
          <w:ilvl w:val="0"/>
          <w:numId w:val="1005"/>
        </w:numPr>
        <w:pStyle w:val="Compact"/>
      </w:pPr>
      <w:r>
        <w:rPr>
          <w:bCs/>
          <w:b/>
        </w:rPr>
        <w:t xml:space="preserve">Upstream Transport Mode (Primary):</w:t>
      </w:r>
      <w:r>
        <w:t xml:space="preserve"> </w:t>
      </w:r>
      <w:r>
        <w:t xml:space="preserve">Select Mode (Road freight - Heavy Goods Vehicle, HGV).</w:t>
      </w:r>
    </w:p>
    <w:p>
      <w:pPr>
        <w:numPr>
          <w:ilvl w:val="0"/>
          <w:numId w:val="1005"/>
        </w:numPr>
        <w:pStyle w:val="Compact"/>
      </w:pPr>
      <w:r>
        <w:rPr>
          <w:bCs/>
          <w:b/>
        </w:rPr>
        <w:t xml:space="preserve">Upstream Transport Distance:</w:t>
      </w:r>
      <w:r>
        <w:t xml:space="preserve"> </w:t>
      </w:r>
      <w:r>
        <w:t xml:space="preserve">kvpplrpuxv (1500 km, Europe Focused Supply Chain).</w:t>
      </w:r>
    </w:p>
    <w:p>
      <w:pPr>
        <w:numPr>
          <w:ilvl w:val="0"/>
          <w:numId w:val="1005"/>
        </w:numPr>
        <w:pStyle w:val="Compact"/>
      </w:pPr>
      <w:r>
        <w:rPr>
          <w:bCs/>
          <w:b/>
        </w:rPr>
        <w:t xml:space="preserve">Upstream Transport Emission Factor:</w:t>
      </w:r>
      <w:r>
        <w:t xml:space="preserve"> </w:t>
      </w:r>
      <w:r>
        <w:t xml:space="preserve">0.1 kg CO2e/tkm (general HGV, long-haul). Assumed product weight for transport is 2.1 kg (sum of BOM).</w:t>
      </w:r>
    </w:p>
    <w:p>
      <w:pPr>
        <w:numPr>
          <w:ilvl w:val="0"/>
          <w:numId w:val="1005"/>
        </w:numPr>
        <w:pStyle w:val="Compact"/>
      </w:pPr>
      <w:r>
        <w:rPr>
          <w:bCs/>
          <w:b/>
        </w:rPr>
        <w:t xml:space="preserve">Last-Mile Delivery Channel:</w:t>
      </w:r>
      <w:r>
        <w:t xml:space="preserve"> </w:t>
      </w:r>
      <w:r>
        <w:t xml:space="preserve">Delivery Type (Parcel Delivery Van).</w:t>
      </w:r>
    </w:p>
    <w:p>
      <w:pPr>
        <w:numPr>
          <w:ilvl w:val="0"/>
          <w:numId w:val="1005"/>
        </w:numPr>
        <w:pStyle w:val="Compact"/>
      </w:pPr>
      <w:r>
        <w:rPr>
          <w:bCs/>
          <w:b/>
        </w:rPr>
        <w:t xml:space="preserve">Last-Mile Delivery Distance:</w:t>
      </w:r>
      <w:r>
        <w:t xml:space="preserve"> </w:t>
      </w:r>
      <w:r>
        <w:t xml:space="preserve">100 km (estimated average).</w:t>
      </w:r>
    </w:p>
    <w:p>
      <w:pPr>
        <w:numPr>
          <w:ilvl w:val="0"/>
          <w:numId w:val="1005"/>
        </w:numPr>
        <w:pStyle w:val="Compact"/>
      </w:pPr>
      <w:r>
        <w:rPr>
          <w:bCs/>
          <w:b/>
        </w:rPr>
        <w:t xml:space="preserve">Last-Mile Delivery Emission Factor:</w:t>
      </w:r>
      <w:r>
        <w:t xml:space="preserve"> </w:t>
      </w:r>
      <w:r>
        <w:t xml:space="preserve">0.2 kg CO2e/km (estimated for a small parcel van).</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emteqynqjx (3 years).</w:t>
      </w:r>
    </w:p>
    <w:p>
      <w:pPr>
        <w:numPr>
          <w:ilvl w:val="0"/>
          <w:numId w:val="1006"/>
        </w:numPr>
        <w:pStyle w:val="Compact"/>
      </w:pPr>
      <w:r>
        <w:rPr>
          <w:bCs/>
          <w:b/>
        </w:rPr>
        <w:t xml:space="preserve">Energy Consumption in Use:</w:t>
      </w:r>
      <w:r>
        <w:t xml:space="preserve"> </w:t>
      </w:r>
      <w:r>
        <w:t xml:space="preserve">dqslvxvsty (10 kWh/year).</w:t>
      </w:r>
    </w:p>
    <w:p>
      <w:pPr>
        <w:numPr>
          <w:ilvl w:val="0"/>
          <w:numId w:val="1006"/>
        </w:numPr>
        <w:pStyle w:val="Compact"/>
      </w:pPr>
      <w:r>
        <w:rPr>
          <w:bCs/>
          <w:b/>
        </w:rPr>
        <w:t xml:space="preserve">Electricity Source for Use Phase:</w:t>
      </w:r>
      <w:r>
        <w:t xml:space="preserve"> </w:t>
      </w:r>
      <w:r>
        <w:t xml:space="preserve">Assumed average EU grid mix for downstream use given "Europe Focused" supply chain, approximately 0.25 kg CO2e/kWh (generic estimate, actual values vary by country).</w:t>
      </w:r>
    </w:p>
    <w:bookmarkEnd w:id="29"/>
    <w:bookmarkStart w:id="30"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wuhsskgkil (75%).</w:t>
      </w:r>
    </w:p>
    <w:p>
      <w:pPr>
        <w:numPr>
          <w:ilvl w:val="0"/>
          <w:numId w:val="1007"/>
        </w:numPr>
        <w:pStyle w:val="Compact"/>
      </w:pPr>
      <w:r>
        <w:rPr>
          <w:bCs/>
          <w:b/>
        </w:rPr>
        <w:t xml:space="preserve">Circular/Take-back Programs:</w:t>
      </w:r>
      <w:r>
        <w:t xml:space="preserve"> </w:t>
      </w:r>
      <w:r>
        <w:t xml:space="preserve">qipsqmfjtu (Company-wide take-back program for end-of-life products). This program aims to maximize resource recovery and minimize waste.</w:t>
      </w:r>
    </w:p>
    <w:p>
      <w:pPr>
        <w:numPr>
          <w:ilvl w:val="0"/>
          <w:numId w:val="1007"/>
        </w:numPr>
        <w:pStyle w:val="Compact"/>
      </w:pPr>
      <w:r>
        <w:rPr>
          <w:bCs/>
          <w:b/>
        </w:rPr>
        <w:t xml:space="preserve">EoL Emission Factors:</w:t>
      </w:r>
    </w:p>
    <w:p>
      <w:pPr>
        <w:numPr>
          <w:ilvl w:val="1"/>
          <w:numId w:val="1008"/>
        </w:numPr>
        <w:pStyle w:val="Compact"/>
      </w:pPr>
      <w:r>
        <w:rPr>
          <w:bCs/>
          <w:b/>
        </w:rPr>
        <w:t xml:space="preserve">Recycling Credit:</w:t>
      </w:r>
      <w:r>
        <w:t xml:space="preserve"> </w:t>
      </w:r>
      <w:r>
        <w:t xml:space="preserve">Assumed 30% avoided emissions compared to virgin material production for the recyclable portion, as recycling generally saves emissions compared to virgin production.</w:t>
      </w:r>
    </w:p>
    <w:p>
      <w:pPr>
        <w:numPr>
          <w:ilvl w:val="1"/>
          <w:numId w:val="1008"/>
        </w:numPr>
        <w:pStyle w:val="Compact"/>
      </w:pPr>
      <w:r>
        <w:rPr>
          <w:bCs/>
          <w:b/>
        </w:rPr>
        <w:t xml:space="preserve">Non-Recycled Waste (Landfill/Incineration):</w:t>
      </w:r>
      <w:r>
        <w:t xml:space="preserve"> </w:t>
      </w:r>
      <w:r>
        <w:t xml:space="preserve">Remaining 25% waste. For plastics in landfills, emissions are relatively low, while incineration can have varying impacts. For simplicity, a small positive emission factor of 0.1 kg CO2e/kg for non-recycled waste is applied to cover collection and processing prior to disposal.</w:t>
      </w:r>
    </w:p>
    <w:p>
      <w:r>
        <w:pict>
          <v:rect style="width:0;height:1.5pt" o:hralign="center" o:hrstd="t" o:hr="t"/>
        </w:pict>
      </w:r>
    </w:p>
    <w:bookmarkEnd w:id="30"/>
    <w:bookmarkEnd w:id="31"/>
    <w:bookmarkStart w:id="39" w:name="calculate-emissions"/>
    <w:p>
      <w:pPr>
        <w:pStyle w:val="Heading2"/>
      </w:pPr>
      <w:r>
        <w:t xml:space="preserve">4. Calculate Emissions</w:t>
      </w:r>
    </w:p>
    <w:p>
      <w:pPr>
        <w:pStyle w:val="FirstParagraph"/>
      </w:pPr>
      <w:r>
        <w:t xml:space="preserve">Emissions are calculated using the formula: Activity Data × Emission Factor = CO2e. The results are categorized by GHG Protocol scopes.</w:t>
      </w:r>
    </w:p>
    <w:bookmarkStart w:id="32" w:name="X66868a4439ae008444223b38d01c49c425adc5a"/>
    <w:p>
      <w:pPr>
        <w:pStyle w:val="Heading3"/>
      </w:pPr>
      <w:r>
        <w:t xml:space="preserve">4.1. Scope 3 Emissions - Category 1: Purchased Goods and Services (Materials)</w:t>
      </w:r>
    </w:p>
    <w:p>
      <w:pPr>
        <w:pStyle w:val="FirstParagraph"/>
      </w:pPr>
      <w:r>
        <w:t xml:space="preserve">Total Carbon Footprint from Bill of Materials:</w:t>
      </w:r>
      <w:r>
        <w:t xml:space="preserve"> </w:t>
      </w:r>
      <w:r>
        <w:rPr>
          <w:bCs/>
          <w:b/>
        </w:rPr>
        <w:t xml:space="preserve">18.448 kg CO2e</w:t>
      </w:r>
      <w:r>
        <w:t xml:space="preserve"> </w:t>
      </w:r>
      <w:r>
        <w:t xml:space="preserve">(as calculated in Section 3.1).</w:t>
      </w:r>
    </w:p>
    <w:bookmarkEnd w:id="32"/>
    <w:bookmarkStart w:id="33" w:name="Xd17f24e22553938aa8f1cc9e55e0209e6690cef"/>
    <w:p>
      <w:pPr>
        <w:pStyle w:val="Heading3"/>
      </w:pPr>
      <w:r>
        <w:t xml:space="preserve">4.2. Manufacturing Phase Emissions (Scope 2 &amp; Minor Scope 1)</w:t>
      </w:r>
    </w:p>
    <w:p>
      <w:pPr>
        <w:pStyle w:val="FirstParagraph"/>
      </w:pPr>
      <w:r>
        <w:t xml:space="preserve">Manufacturing takes place in China.</w:t>
      </w:r>
    </w:p>
    <w:p>
      <w:pPr>
        <w:numPr>
          <w:ilvl w:val="0"/>
          <w:numId w:val="1009"/>
        </w:numPr>
        <w:pStyle w:val="Compact"/>
      </w:pPr>
      <w:r>
        <w:t xml:space="preserve">Total Energy Consumption: 25 kWh/unit</w:t>
      </w:r>
    </w:p>
    <w:p>
      <w:pPr>
        <w:numPr>
          <w:ilvl w:val="0"/>
          <w:numId w:val="1009"/>
        </w:numPr>
        <w:pStyle w:val="Compact"/>
      </w:pPr>
      <w:r>
        <w:t xml:space="preserve">Renewable Energy Usage: 60%</w:t>
      </w:r>
    </w:p>
    <w:p>
      <w:pPr>
        <w:numPr>
          <w:ilvl w:val="0"/>
          <w:numId w:val="1009"/>
        </w:numPr>
        <w:pStyle w:val="Compact"/>
      </w:pPr>
      <w:r>
        <w:t xml:space="preserve">Non-Renewable Energy Consumption: 25 kWh * (1 - 0.60) = 10 kWh/unit</w:t>
      </w:r>
    </w:p>
    <w:p>
      <w:pPr>
        <w:numPr>
          <w:ilvl w:val="0"/>
          <w:numId w:val="1009"/>
        </w:numPr>
        <w:pStyle w:val="Compact"/>
      </w:pPr>
      <w:r>
        <w:t xml:space="preserve">Emissions from Non-Renewable Electricity: 10 kWh/unit * 0.556 kg CO2e/kWh = 5.560 kg CO2e/unit</w:t>
      </w:r>
    </w:p>
    <w:p>
      <w:pPr>
        <w:pStyle w:val="FirstParagraph"/>
      </w:pPr>
      <w:r>
        <w:t xml:space="preserve">Since purchased electricity is accounted for, this falls under Scope 2 emissions. Any direct on-site combustion of fuels not linked to purchased energy would be Scope 1, but none specified here beyond purchased energy.</w:t>
      </w:r>
    </w:p>
    <w:p>
      <w:pPr>
        <w:pStyle w:val="BodyText"/>
      </w:pPr>
      <w:r>
        <w:rPr>
          <w:bCs/>
          <w:b/>
        </w:rPr>
        <w:t xml:space="preserve">Total Manufacturing (Scope 2) Carbon Footprint: 5.560 kg CO2e</w:t>
      </w:r>
    </w:p>
    <w:bookmarkEnd w:id="33"/>
    <w:bookmarkStart w:id="34" w:name="X5bc23c584874d4fec5aca2b826ac5c536dbfa73"/>
    <w:p>
      <w:pPr>
        <w:pStyle w:val="Heading3"/>
      </w:pPr>
      <w:r>
        <w:t xml:space="preserve">4.3. Scope 3 Emissions - Category 4: Upstream Transportation and Distribution</w:t>
      </w:r>
    </w:p>
    <w:p>
      <w:pPr>
        <w:numPr>
          <w:ilvl w:val="0"/>
          <w:numId w:val="1010"/>
        </w:numPr>
        <w:pStyle w:val="Compact"/>
      </w:pPr>
      <w:r>
        <w:t xml:space="preserve">Product Weight: 2.1 kg (from BOM sum)</w:t>
      </w:r>
    </w:p>
    <w:p>
      <w:pPr>
        <w:numPr>
          <w:ilvl w:val="0"/>
          <w:numId w:val="1010"/>
        </w:numPr>
        <w:pStyle w:val="Compact"/>
      </w:pPr>
      <w:r>
        <w:t xml:space="preserve">Transport Distance: 1500 km</w:t>
      </w:r>
    </w:p>
    <w:p>
      <w:pPr>
        <w:numPr>
          <w:ilvl w:val="0"/>
          <w:numId w:val="1010"/>
        </w:numPr>
        <w:pStyle w:val="Compact"/>
      </w:pPr>
      <w:r>
        <w:t xml:space="preserve">Transport Mode: HGV</w:t>
      </w:r>
    </w:p>
    <w:p>
      <w:pPr>
        <w:numPr>
          <w:ilvl w:val="0"/>
          <w:numId w:val="1010"/>
        </w:numPr>
        <w:pStyle w:val="Compact"/>
      </w:pPr>
      <w:r>
        <w:t xml:space="preserve">Total Tonne-Kilometers (tkm): 2.1 kg * 1500 km / 1000 kg/tonne = 3.15 tkm</w:t>
      </w:r>
    </w:p>
    <w:p>
      <w:pPr>
        <w:numPr>
          <w:ilvl w:val="0"/>
          <w:numId w:val="1010"/>
        </w:numPr>
        <w:pStyle w:val="Compact"/>
      </w:pPr>
      <w:r>
        <w:t xml:space="preserve">Emissions: 3.15 tkm * 0.1 kg CO2e/tkm = 0.315 kg CO2e/unit</w:t>
      </w:r>
    </w:p>
    <w:p>
      <w:pPr>
        <w:pStyle w:val="FirstParagraph"/>
      </w:pPr>
      <w:r>
        <w:rPr>
          <w:bCs/>
          <w:b/>
        </w:rPr>
        <w:t xml:space="preserve">Total Upstream Transport (Scope 3, Category 4) Carbon Footprint: 0.315 kg CO2e</w:t>
      </w:r>
    </w:p>
    <w:bookmarkEnd w:id="34"/>
    <w:bookmarkStart w:id="35" w:name="Xa5add9899e24ebcbe5b74dbbe981c8f8fa9215b"/>
    <w:p>
      <w:pPr>
        <w:pStyle w:val="Heading3"/>
      </w:pPr>
      <w:r>
        <w:t xml:space="preserve">4.4. Scope 3 Emissions - Category 9: Downstream Transportation and Distribution (Last-Mile)</w:t>
      </w:r>
    </w:p>
    <w:p>
      <w:pPr>
        <w:numPr>
          <w:ilvl w:val="0"/>
          <w:numId w:val="1011"/>
        </w:numPr>
        <w:pStyle w:val="Compact"/>
      </w:pPr>
      <w:r>
        <w:t xml:space="preserve">Last-Mile Distance: 100 km</w:t>
      </w:r>
    </w:p>
    <w:p>
      <w:pPr>
        <w:numPr>
          <w:ilvl w:val="0"/>
          <w:numId w:val="1011"/>
        </w:numPr>
        <w:pStyle w:val="Compact"/>
      </w:pPr>
      <w:r>
        <w:t xml:space="preserve">Transport Mode: Parcel Delivery Van</w:t>
      </w:r>
    </w:p>
    <w:p>
      <w:pPr>
        <w:numPr>
          <w:ilvl w:val="0"/>
          <w:numId w:val="1011"/>
        </w:numPr>
        <w:pStyle w:val="Compact"/>
      </w:pPr>
      <w:r>
        <w:t xml:space="preserve">Emissions: 100 km * 0.2 kg CO2e/km = 20.000 kg CO2e/unit</w:t>
      </w:r>
    </w:p>
    <w:p>
      <w:pPr>
        <w:pStyle w:val="FirstParagraph"/>
      </w:pPr>
      <w:r>
        <w:rPr>
          <w:bCs/>
          <w:b/>
        </w:rPr>
        <w:t xml:space="preserve">Total Downstream Transport (Scope 3, Category 9) Carbon Footprint: 20.000 kg CO2e</w:t>
      </w:r>
    </w:p>
    <w:bookmarkEnd w:id="35"/>
    <w:bookmarkStart w:id="36" w:name="Xfb7ff4ced7f3ed817d5bc60527a00291d839db6"/>
    <w:p>
      <w:pPr>
        <w:pStyle w:val="Heading3"/>
      </w:pPr>
      <w:r>
        <w:t xml:space="preserve">4.5. Scope 3 Emissions - Category 11: Use of Sold Products</w:t>
      </w:r>
    </w:p>
    <w:p>
      <w:pPr>
        <w:numPr>
          <w:ilvl w:val="0"/>
          <w:numId w:val="1012"/>
        </w:numPr>
        <w:pStyle w:val="Compact"/>
      </w:pPr>
      <w:r>
        <w:t xml:space="preserve">Product Lifespan: 3 years</w:t>
      </w:r>
    </w:p>
    <w:p>
      <w:pPr>
        <w:numPr>
          <w:ilvl w:val="0"/>
          <w:numId w:val="1012"/>
        </w:numPr>
        <w:pStyle w:val="Compact"/>
      </w:pPr>
      <w:r>
        <w:t xml:space="preserve">Annual Energy Consumption: 10 kWh/year</w:t>
      </w:r>
    </w:p>
    <w:p>
      <w:pPr>
        <w:numPr>
          <w:ilvl w:val="0"/>
          <w:numId w:val="1012"/>
        </w:numPr>
        <w:pStyle w:val="Compact"/>
      </w:pPr>
      <w:r>
        <w:t xml:space="preserve">Total Energy Consumption over Lifespan: 10 kWh/year * 3 years = 30 kWh/unit</w:t>
      </w:r>
    </w:p>
    <w:p>
      <w:pPr>
        <w:numPr>
          <w:ilvl w:val="0"/>
          <w:numId w:val="1012"/>
        </w:numPr>
        <w:pStyle w:val="Compact"/>
      </w:pPr>
      <w:r>
        <w:t xml:space="preserve">Assumed EU Grid Mix (Average): 0.25 kg CO2e/kWh</w:t>
      </w:r>
    </w:p>
    <w:p>
      <w:pPr>
        <w:numPr>
          <w:ilvl w:val="0"/>
          <w:numId w:val="1012"/>
        </w:numPr>
        <w:pStyle w:val="Compact"/>
      </w:pPr>
      <w:r>
        <w:t xml:space="preserve">Emissions: 30 kWh/unit * 0.25 kg CO2e/kWh = 7.500 kg CO2e/unit</w:t>
      </w:r>
    </w:p>
    <w:p>
      <w:pPr>
        <w:pStyle w:val="FirstParagraph"/>
      </w:pPr>
      <w:r>
        <w:rPr>
          <w:bCs/>
          <w:b/>
        </w:rPr>
        <w:t xml:space="preserve">Total Use Phase (Scope 3, Category 11) Carbon Footprint: 7.500 kg CO2e</w:t>
      </w:r>
    </w:p>
    <w:bookmarkEnd w:id="36"/>
    <w:bookmarkStart w:id="37" w:name="X81e0e50b182a74f0f920a27c25644c050d2ad7c"/>
    <w:p>
      <w:pPr>
        <w:pStyle w:val="Heading3"/>
      </w:pPr>
      <w:r>
        <w:t xml:space="preserve">4.6. Scope 3 Emissions - Category 12: End-of-Life Treatment of Sold Products</w:t>
      </w:r>
    </w:p>
    <w:p>
      <w:pPr>
        <w:numPr>
          <w:ilvl w:val="0"/>
          <w:numId w:val="1013"/>
        </w:numPr>
        <w:pStyle w:val="Compact"/>
      </w:pPr>
      <w:r>
        <w:t xml:space="preserve">Total Product Weight: 2.1 kg</w:t>
      </w:r>
    </w:p>
    <w:p>
      <w:pPr>
        <w:numPr>
          <w:ilvl w:val="0"/>
          <w:numId w:val="1013"/>
        </w:numPr>
        <w:pStyle w:val="Compact"/>
      </w:pPr>
      <w:r>
        <w:t xml:space="preserve">Recyclability Percentage: 75%</w:t>
      </w:r>
    </w:p>
    <w:p>
      <w:pPr>
        <w:numPr>
          <w:ilvl w:val="0"/>
          <w:numId w:val="1013"/>
        </w:numPr>
        <w:pStyle w:val="Compact"/>
      </w:pPr>
      <w:r>
        <w:t xml:space="preserve">Recycled Weight: 2.1 kg * 0.75 = 1.575 kg</w:t>
      </w:r>
    </w:p>
    <w:p>
      <w:pPr>
        <w:numPr>
          <w:ilvl w:val="0"/>
          <w:numId w:val="1013"/>
        </w:numPr>
        <w:pStyle w:val="Compact"/>
      </w:pPr>
      <w:r>
        <w:t xml:space="preserve">Non-Recycled Weight: 2.1 kg * 0.25 = 0.525 kg</w:t>
      </w:r>
    </w:p>
    <w:p>
      <w:pPr>
        <w:pStyle w:val="FirstParagraph"/>
      </w:pPr>
      <w:r>
        <w:rPr>
          <w:bCs/>
          <w:b/>
        </w:rPr>
        <w:t xml:space="preserve">Recycling Credit:</w:t>
      </w:r>
      <w:r>
        <w:t xml:space="preserve"> </w:t>
      </w:r>
      <w:r>
        <w:t xml:space="preserve">Assumed 30% avoided emissions from virgin material production for the recycled portion. To simplify, we apply this credit against the total material footprint.</w:t>
      </w:r>
      <w:r>
        <w:t xml:space="preserve"> </w:t>
      </w:r>
      <w:r>
        <w:t xml:space="preserve">Credit Calculation based on material impact: 18.448 kg CO2e (material impact) * 0.75 (recycled portion) * 0.30 (avoided emissions factor) = -4.151 kg CO2e.</w:t>
      </w:r>
    </w:p>
    <w:p>
      <w:pPr>
        <w:pStyle w:val="BodyText"/>
      </w:pPr>
      <w:r>
        <w:rPr>
          <w:bCs/>
          <w:b/>
        </w:rPr>
        <w:t xml:space="preserve">Non-Recycled Waste Emissions:</w:t>
      </w:r>
      <w:r>
        <w:t xml:space="preserve"> </w:t>
      </w:r>
      <w:r>
        <w:t xml:space="preserve">0.525 kg * 0.1 kg CO2e/kg (disposal factor) = 0.053 kg CO2e.</w:t>
      </w:r>
    </w:p>
    <w:p>
      <w:pPr>
        <w:pStyle w:val="BodyText"/>
      </w:pPr>
      <w:r>
        <w:rPr>
          <w:bCs/>
          <w:b/>
        </w:rPr>
        <w:t xml:space="preserve">Total End-of-Life (Scope 3, Category 12) Carbon Footprint:</w:t>
      </w:r>
      <w:r>
        <w:t xml:space="preserve"> </w:t>
      </w:r>
      <w:r>
        <w:t xml:space="preserve">(-4.151 + 0.053) =</w:t>
      </w:r>
      <w:r>
        <w:t xml:space="preserve"> </w:t>
      </w:r>
      <w:r>
        <w:rPr>
          <w:bCs/>
          <w:b/>
        </w:rPr>
        <w:t xml:space="preserve">-4.098 kg CO2e</w:t>
      </w:r>
      <w:r>
        <w:t xml:space="preserve"> </w:t>
      </w:r>
      <w:r>
        <w:t xml:space="preserve">(net credit)</w:t>
      </w:r>
    </w:p>
    <w:bookmarkEnd w:id="37"/>
    <w:bookmarkStart w:id="38" w:name="Xe954cf8caf5cc510886e1ea889a57e2294b5959"/>
    <w:p>
      <w:pPr>
        <w:pStyle w:val="Heading3"/>
      </w:pPr>
      <w:r>
        <w:t xml:space="preserve">4.7. Summary of Product Carbon Footprint by Life 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 per Functional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18.448</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5.560</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0.315</w:t>
            </w:r>
          </w:p>
        </w:tc>
      </w:tr>
      <w:tr>
        <w:tc>
          <w:tcPr/>
          <w:p>
            <w:pPr>
              <w:pStyle w:val="Compact"/>
              <w:jc w:val="left"/>
            </w:pPr>
            <w:r>
              <w:t xml:space="preserve">Downstream Transportation &amp; Distribution (Last-Mile)</w:t>
            </w:r>
          </w:p>
        </w:tc>
        <w:tc>
          <w:tcPr/>
          <w:p>
            <w:pPr>
              <w:pStyle w:val="Compact"/>
              <w:jc w:val="left"/>
            </w:pPr>
            <w:r>
              <w:t xml:space="preserve">Scope 3, Category 9</w:t>
            </w:r>
          </w:p>
        </w:tc>
        <w:tc>
          <w:tcPr/>
          <w:p>
            <w:pPr>
              <w:pStyle w:val="Compact"/>
              <w:jc w:val="left"/>
            </w:pPr>
            <w:r>
              <w:t xml:space="preserve">20.000</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7.500</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-4.098</w:t>
            </w:r>
          </w:p>
        </w:tc>
      </w:tr>
      <w:tr>
        <w:tc>
          <w:tcPr>
            <w:gridSpan w:val="2"/>
          </w:tcPr>
          <w:p>
            <w:pPr>
              <w:pStyle w:val="Compact"/>
              <w:jc w:val="right"/>
            </w:pPr>
            <w:r>
              <w:t xml:space="preserve">Total Product Carbon Footprint (PCF) for ekfzfmmlju:</w:t>
            </w:r>
          </w:p>
        </w:tc>
        <w:tc>
          <w:tcPr/>
          <w:p>
            <w:pPr>
              <w:pStyle w:val="Compact"/>
              <w:jc w:val="left"/>
            </w:pPr>
            <w:r>
              <w:t xml:space="preserve">47.725 kg CO2e</w:t>
            </w:r>
          </w:p>
        </w:tc>
      </w:tr>
    </w:tbl>
    <w:p>
      <w:r>
        <w:pict>
          <v:rect style="width:0;height:1.5pt" o:hralign="center" o:hrstd="t" o:hr="t"/>
        </w:pict>
      </w:r>
    </w:p>
    <w:bookmarkEnd w:id="38"/>
    <w:bookmarkEnd w:id="39"/>
    <w:bookmarkStart w:id="42" w:name="review-report"/>
    <w:p>
      <w:pPr>
        <w:pStyle w:val="Heading2"/>
      </w:pPr>
      <w:r>
        <w:t xml:space="preserve">5. Review &amp; Report</w:t>
      </w:r>
    </w:p>
    <w:bookmarkStart w:id="40" w:name="hotspot-analysis"/>
    <w:p>
      <w:pPr>
        <w:pStyle w:val="Heading3"/>
      </w:pPr>
      <w:r>
        <w:t xml:space="preserve">5.1. Hotspot Analysis</w:t>
      </w:r>
    </w:p>
    <w:p>
      <w:pPr>
        <w:pStyle w:val="FirstParagraph"/>
      </w:pPr>
      <w:r>
        <w:t xml:space="preserve">The PCF analysis reveals key emission hotspots for ekfzfmmlju:</w:t>
      </w:r>
    </w:p>
    <w:p>
      <w:pPr>
        <w:numPr>
          <w:ilvl w:val="0"/>
          <w:numId w:val="1014"/>
        </w:numPr>
        <w:pStyle w:val="Compact"/>
      </w:pPr>
      <w:r>
        <w:rPr>
          <w:bCs/>
          <w:b/>
        </w:rPr>
        <w:t xml:space="preserve">Downstream Transportation (20.000 kg CO2e):</w:t>
      </w:r>
      <w:r>
        <w:t xml:space="preserve"> </w:t>
      </w:r>
      <w:r>
        <w:t xml:space="preserve">Last-mile delivery accounts for a significant portion, highlighting the impact of final distribution channels.</w:t>
      </w:r>
    </w:p>
    <w:p>
      <w:pPr>
        <w:numPr>
          <w:ilvl w:val="0"/>
          <w:numId w:val="1014"/>
        </w:numPr>
        <w:pStyle w:val="Compact"/>
      </w:pPr>
      <w:r>
        <w:rPr>
          <w:bCs/>
          <w:b/>
        </w:rPr>
        <w:t xml:space="preserve">Material Acquisition (18.448 kg CO2e):</w:t>
      </w:r>
      <w:r>
        <w:t xml:space="preserve"> </w:t>
      </w:r>
      <w:r>
        <w:t xml:space="preserve">The production of raw materials, particularly aluminum, is a major contributor, emphasizing the importance of sustainable sourcing and material efficiency.</w:t>
      </w:r>
    </w:p>
    <w:p>
      <w:pPr>
        <w:numPr>
          <w:ilvl w:val="0"/>
          <w:numId w:val="1014"/>
        </w:numPr>
        <w:pStyle w:val="Compact"/>
      </w:pPr>
      <w:r>
        <w:rPr>
          <w:bCs/>
          <w:b/>
        </w:rPr>
        <w:t xml:space="preserve">Use Phase (7.500 kg CO2e):</w:t>
      </w:r>
      <w:r>
        <w:t xml:space="preserve"> </w:t>
      </w:r>
      <w:r>
        <w:t xml:space="preserve">Energy consumption during the product\'s 3-year lifespan contributes notably, suggesting opportunities for energy-efficient design.</w:t>
      </w:r>
    </w:p>
    <w:p>
      <w:pPr>
        <w:numPr>
          <w:ilvl w:val="0"/>
          <w:numId w:val="1014"/>
        </w:numPr>
        <w:pStyle w:val="Compact"/>
      </w:pPr>
      <w:r>
        <w:rPr>
          <w:bCs/>
          <w:b/>
        </w:rPr>
        <w:t xml:space="preserve">Manufacturing (5.560 kg CO2e):</w:t>
      </w:r>
      <w:r>
        <w:t xml:space="preserve"> </w:t>
      </w:r>
      <w:r>
        <w:t xml:space="preserve">While renewable energy usage helps mitigate emissions, the remaining non-renewable electricity still contributes.</w:t>
      </w:r>
    </w:p>
    <w:bookmarkEnd w:id="40"/>
    <w:bookmarkStart w:id="41" w:name="reliability-and-data-quality"/>
    <w:p>
      <w:pPr>
        <w:pStyle w:val="Heading3"/>
      </w:pPr>
      <w:r>
        <w:t xml:space="preserve">5.2. Reliability and Data Quality</w:t>
      </w:r>
    </w:p>
    <w:p>
      <w:pPr>
        <w:pStyle w:val="FirstParagraph"/>
      </w:pPr>
      <w:r>
        <w:t xml:space="preserve">This report utilized a mix of provided specific data (e.g., energy intensity, lifespan) and secondary industry-average emission factors (e.g., for materials, transport modes). The use of generic emission factors introduces a level of uncertainty. To enhance reliability and meet future GHG Protocol requirements for disaggregated data by type, we recommend:</w:t>
      </w:r>
    </w:p>
    <w:p>
      <w:pPr>
        <w:numPr>
          <w:ilvl w:val="0"/>
          <w:numId w:val="1015"/>
        </w:numPr>
        <w:pStyle w:val="Compact"/>
      </w:pPr>
      <w:r>
        <w:t xml:space="preserve">Gathering primary, supplier-specific data for all major material inputs and manufacturing processes.</w:t>
      </w:r>
    </w:p>
    <w:p>
      <w:pPr>
        <w:numPr>
          <w:ilvl w:val="0"/>
          <w:numId w:val="1015"/>
        </w:numPr>
        <w:pStyle w:val="Compact"/>
      </w:pPr>
      <w:r>
        <w:t xml:space="preserve">Obtaining more specific emission factors for transportation routes and vehicle types from logistics providers.</w:t>
      </w:r>
    </w:p>
    <w:p>
      <w:pPr>
        <w:numPr>
          <w:ilvl w:val="0"/>
          <w:numId w:val="1015"/>
        </w:numPr>
        <w:pStyle w:val="Compact"/>
      </w:pPr>
      <w:r>
        <w:t xml:space="preserve">Conducting detailed assessments of regional electricity mixes for the use phase.</w:t>
      </w:r>
    </w:p>
    <w:p>
      <w:r>
        <w:pict>
          <v:rect style="width:0;height:1.5pt" o:hralign="center" o:hrstd="t" o:hr="t"/>
        </w:pict>
      </w:r>
    </w:p>
    <w:bookmarkEnd w:id="41"/>
    <w:bookmarkEnd w:id="42"/>
    <w:bookmarkStart w:id="43" w:name="conclusion"/>
    <w:p>
      <w:pPr>
        <w:pStyle w:val="Heading2"/>
      </w:pPr>
      <w:r>
        <w:t xml:space="preserve">Conclusion</w:t>
      </w:r>
    </w:p>
    <w:p>
      <w:pPr>
        <w:pStyle w:val="FirstParagraph"/>
      </w:pPr>
      <w:r>
        <w:t xml:space="preserve">The Product Carbon Footprint for ekfzfmmlju is determined to be</w:t>
      </w:r>
      <w:r>
        <w:t xml:space="preserve"> </w:t>
      </w:r>
      <w:r>
        <w:rPr>
          <w:bCs/>
          <w:b/>
        </w:rPr>
        <w:t xml:space="preserve">47.725 kg CO2e</w:t>
      </w:r>
      <w:r>
        <w:t xml:space="preserve"> </w:t>
      </w:r>
      <w:r>
        <w:t xml:space="preserve">per functional unit. This analysis, performed under the rigorous framework of the GHG Protocol, including consideration of the 2026 updates, provides qifmfgsuur with critical insights into the environmental impact of its product. The identified hotspots offer clear targets for emission reduction strategies, focusing on material circularity, energy efficiency in manufacturing and use, and optimized logistics. By addressing these areas, qifmfgsuur can significantly reduce its product\'s environmental footprint and align with evolving sustainability expectations and reporting standards.</w:t>
      </w:r>
    </w:p>
    <w:p>
      <w:pPr>
        <w:pStyle w:val="BodyText"/>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ekfzfmmlju</dc:title>
  <dc:creator/>
  <dc:description>Detailed Product Carbon Footprint (PCF) analysis report for product ekfzfmmlju, adhering to GHG Protocol standards, for company qifmfgsuur by Senior Sustainability Consultant hnwslqpouz. Includes lifecycle assessment, emission calculations, and 2026 GHG Protocol updates.</dc:description>
  <dc:language>en</dc:language>
  <cp:keywords/>
  <dcterms:created xsi:type="dcterms:W3CDTF">2026-07-15T12:45:24Z</dcterms:created>
  <dcterms:modified xsi:type="dcterms:W3CDTF">2026-07-15T12:45:24Z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