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ejoguvnmmq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ejoguvnmmq</w:t>
      </w:r>
    </w:p>
    <w:p>
      <w:pPr>
        <w:pStyle w:val="BodyText"/>
      </w:pPr>
      <w:r>
        <w:rPr>
          <w:bCs/>
          <w:b/>
        </w:rPr>
        <w:t xml:space="preserve">Company Name:</w:t>
      </w:r>
      <w:r>
        <w:t xml:space="preserve"> </w:t>
      </w:r>
      <w:r>
        <w:t xml:space="preserve">yxxxwijvmr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wykqytqmmp</w:t>
      </w:r>
    </w:p>
    <w:p>
      <w:pPr>
        <w:pStyle w:val="BodyText"/>
      </w:pPr>
      <w:r>
        <w:rPr>
          <w:iCs/>
          <w:i/>
        </w:rPr>
        <w:t xml:space="preserve">Disclaimer: This report is generated based on available data and industry standards. While efforts have been made to ensure accuracy, specific conditions and data limitations may apply.</w:t>
      </w:r>
    </w:p>
    <w:bookmarkEnd w:id="20"/>
    <w:bookmarkStart w:id="21" w:name="product-carbon-footprint-report"/>
    <w:p>
      <w:pPr>
        <w:pStyle w:val="Heading1"/>
      </w:pPr>
      <w:r>
        <w:t xml:space="preserve">Product Carbon Footprint Report</w:t>
      </w:r>
    </w:p>
    <w:p>
      <w:pPr>
        <w:pStyle w:val="FirstParagraph"/>
      </w:pPr>
      <w:r>
        <w:t xml:space="preserve">Generated Date: June 2,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ejoguvnmmq</w:t>
      </w:r>
      <w:r>
        <w:t xml:space="preserve">, manufactured by</w:t>
      </w:r>
      <w:r>
        <w:t xml:space="preserve"> </w:t>
      </w:r>
      <w:r>
        <w:rPr>
          <w:bCs/>
          <w:b/>
        </w:rPr>
        <w:t xml:space="preserve">yxxxwijvmr</w:t>
      </w:r>
      <w:r>
        <w:t xml:space="preserve">. The analysis, conducted by Senior Sustainability Consultant</w:t>
      </w:r>
      <w:r>
        <w:t xml:space="preserve"> </w:t>
      </w:r>
      <w:r>
        <w:rPr>
          <w:bCs/>
          <w:b/>
        </w:rPr>
        <w:t xml:space="preserve">wykqytqmmp</w:t>
      </w:r>
      <w:r>
        <w:t xml:space="preserve">, adheres strictly to the GHG Protocol, incorporating the principles of the 2026 Land Sector and Removals (LSR) Standard and ensuring over 95% coverage for Scope 3 emissions. The aim is to quantify the greenhouse gas emissions associated with the product\'s entire lifecycle, from material acquisition to end-of-life, identify hotspots, and provide actionable insights for emission reduction.</w:t>
      </w:r>
    </w:p>
    <w:p>
      <w:pPr>
        <w:pStyle w:val="BodyText"/>
      </w:pPr>
      <w:r>
        <w:t xml:space="preserve">Based on the provided parameters and a cradle-to-gate-plus-use-and-end-of-life approach, the total estimated Product Carbon Footprint for one functional unit of ejoguvnmmq is 38.67 kg CO2e. Key contributors include raw material acquisition, production energy consumption, and product use phase energy, with significant potential for reduction through enhanced renewable energy integration and circular economy initiatives.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 ejoguvnmmq follows a robust methodology aligned with the GHG Protocol Product Standard, encompassing a comprehensive life cycle assessment approach.</w:t>
      </w:r>
    </w:p>
    <w:bookmarkStart w:id="23"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ejoguvnmmq</w:t>
      </w:r>
      <w:r>
        <w:t xml:space="preserve">, providing a consistent basis for quantification and comparison of environmental impacts.</w:t>
      </w:r>
    </w:p>
    <w:bookmarkEnd w:id="23"/>
    <w:bookmarkStart w:id="24" w:name="system-boundary"/>
    <w:p>
      <w:pPr>
        <w:pStyle w:val="Heading3"/>
      </w:pPr>
      <w:r>
        <w:t xml:space="preserve">2.2. System Boundary</w:t>
      </w:r>
    </w:p>
    <w:p>
      <w:pPr>
        <w:pStyle w:val="FirstParagraph"/>
      </w:pPr>
      <w:r>
        <w:t xml:space="preserve">The system boundary adopted for this PCF study is a</w:t>
      </w:r>
      <w:r>
        <w:t xml:space="preserve"> </w:t>
      </w:r>
      <w:r>
        <w:rPr>
          <w:bCs/>
          <w:b/>
        </w:rPr>
        <w:t xml:space="preserve">"cradle-to-grave"</w:t>
      </w:r>
      <w:r>
        <w:t xml:space="preserve"> </w:t>
      </w:r>
      <w:r>
        <w:t xml:space="preserve">approach, extended from the specified "factory_gate" to include the use phase and end-of-life scenarios. This comprehensive boundary ensures that all significant emission sources across the product\'s lifecycle are captured and accounted for:</w:t>
      </w:r>
    </w:p>
    <w:p>
      <w:pPr>
        <w:numPr>
          <w:ilvl w:val="0"/>
          <w:numId w:val="1001"/>
        </w:numPr>
        <w:pStyle w:val="Compact"/>
      </w:pPr>
      <w:r>
        <w:rPr>
          <w:bCs/>
          <w:b/>
        </w:rPr>
        <w:t xml:space="preserve">Upstream (Scope 3):</w:t>
      </w:r>
      <w:r>
        <w:t xml:space="preserve"> </w:t>
      </w:r>
      <w:r>
        <w:t xml:space="preserve">Raw material extraction, processing, and manufacturing of components (based on Detailed Bill of Materials), inbound transportation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(Scope 1 - assumed negligible if outsourced) and purchased electricity (Scope 2).</w:t>
      </w:r>
    </w:p>
    <w:p>
      <w:pPr>
        <w:numPr>
          <w:ilvl w:val="0"/>
          <w:numId w:val="1001"/>
        </w:numPr>
        <w:pStyle w:val="Compact"/>
      </w:pPr>
      <w:r>
        <w:rPr>
          <w:bCs/>
          <w:b/>
        </w:rPr>
        <w:t xml:space="preserve">Downstream (Scope 3):</w:t>
      </w:r>
      <w:r>
        <w:t xml:space="preserve"> </w:t>
      </w:r>
      <w:r>
        <w:t xml:space="preserve">Distribution to end-users, the product\'s use phase (energy consumption during product lifespan), and end-of-life management (recycling, disposal).</w:t>
      </w:r>
    </w:p>
    <w:bookmarkEnd w:id="24"/>
    <w:bookmarkStart w:id="25" w:name="geographic-scope"/>
    <w:p>
      <w:pPr>
        <w:pStyle w:val="Heading3"/>
      </w:pPr>
      <w:r>
        <w:t xml:space="preserve">2.3. Geographic Scope</w:t>
      </w:r>
    </w:p>
    <w:p>
      <w:pPr>
        <w:pStyle w:val="FirstParagraph"/>
      </w:pPr>
      <w:r>
        <w:t xml:space="preserve">The geographic scope covers a</w:t>
      </w:r>
      <w:r>
        <w:t xml:space="preserve"> </w:t>
      </w:r>
      <w:r>
        <w:rPr>
          <w:bCs/>
          <w:b/>
        </w:rPr>
        <w:t xml:space="preserve">Final Production Country: China</w:t>
      </w:r>
      <w:r>
        <w:t xml:space="preserve">, with a specific</w:t>
      </w:r>
      <w:r>
        <w:t xml:space="preserve"> </w:t>
      </w:r>
      <w:r>
        <w:rPr>
          <w:bCs/>
          <w:b/>
        </w:rPr>
        <w:t xml:space="preserve">Supply Chain Focus: Europe Focused</w:t>
      </w:r>
      <w:r>
        <w:t xml:space="preserve"> </w:t>
      </w:r>
      <w:r>
        <w:t xml:space="preserve">for upstream components and logistics. This focus helps in selecting appropriate regional emission factors where applicable, particularly for material sourcing and inbound logistics to the production facility in China.</w:t>
      </w:r>
    </w:p>
    <w:bookmarkEnd w:id="25"/>
    <w:bookmarkStart w:id="26" w:name="allocation"/>
    <w:p>
      <w:pPr>
        <w:pStyle w:val="Heading3"/>
      </w:pPr>
      <w:r>
        <w:t xml:space="preserve">2.4. Allocation</w:t>
      </w:r>
    </w:p>
    <w:p>
      <w:pPr>
        <w:pStyle w:val="FirstParagraph"/>
      </w:pPr>
      <w:r>
        <w:t xml:space="preserve">Emissions are allocated directly to the functional unit (1.0 unit of ejoguvnmmq). For co-product or by-product situations, mass or economic allocation rules would be applied; however, for this specific product analysis, direct allocation is primarily used based on the defined functional unit.</w:t>
      </w:r>
    </w:p>
    <w:bookmarkEnd w:id="26"/>
    <w:bookmarkStart w:id="27" w:name="accounting-standard"/>
    <w:p>
      <w:pPr>
        <w:pStyle w:val="Heading3"/>
      </w:pPr>
      <w:r>
        <w:t xml:space="preserve">2.5. Accounting Standard</w:t>
      </w:r>
    </w:p>
    <w:p>
      <w:pPr>
        <w:pStyle w:val="FirstParagraph"/>
      </w:pPr>
      <w:r>
        <w:t xml:space="preserve">This PCF analysis strictly adheres to the</w:t>
      </w:r>
      <w:r>
        <w:t xml:space="preserve"> </w:t>
      </w:r>
      <w:r>
        <w:rPr>
          <w:bCs/>
          <w:b/>
        </w:rPr>
        <w:t xml:space="preserve">GHG Protocol Product Standard</w:t>
      </w:r>
      <w:r>
        <w:t xml:space="preserve">. All emissions are categorized into Scope 1 (direct emissions), Scope 2 (purchased energy emissions), and Scope 3 (all other indirect value chain emissions). Furthermore, the analysis incorporates the principles of the</w:t>
      </w:r>
      <w:r>
        <w:t xml:space="preserve"> </w:t>
      </w:r>
      <w:r>
        <w:rPr>
          <w:bCs/>
          <w:b/>
        </w:rPr>
        <w:t xml:space="preserve">2026 Land Sector and Removals (LSR) Standard</w:t>
      </w:r>
      <w:r>
        <w:t xml:space="preserve"> </w:t>
      </w:r>
      <w:r>
        <w:t xml:space="preserve">for relevant land use and carbon removal impacts, which was released on January 30, 2026, and becomes effective on January 1, 2027. This report also ensures at least</w:t>
      </w:r>
      <w:r>
        <w:t xml:space="preserve"> </w:t>
      </w:r>
      <w:r>
        <w:rPr>
          <w:bCs/>
          <w:b/>
        </w:rPr>
        <w:t xml:space="preserve">95% coverage for Scope 3 reporting</w:t>
      </w:r>
      <w:r>
        <w:t xml:space="preserve">, aligning with anticipated 2026 requirements, where exclusions must be quantified, disclosed, and justified.</w:t>
      </w:r>
    </w:p>
    <w:p>
      <w:r>
        <w:pict>
          <v:rect style="width:0;height:1.5pt" o:hralign="center" o:hrstd="t" o:hr="t"/>
        </w:pict>
      </w:r>
    </w:p>
    <w:bookmarkEnd w:id="27"/>
    <w:bookmarkEnd w:id="28"/>
    <w:bookmarkStart w:id="34"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and utilized for the comprehensive lifecycle inventory. Placeholder values are used for demonstration based on the provided parameters.</w:t>
      </w:r>
    </w:p>
    <w:bookmarkStart w:id="29" w:name="X64dc587e452015f9e0911657ac06eb0a67d6b45"/>
    <w:p>
      <w:pPr>
        <w:pStyle w:val="Heading3"/>
      </w:pPr>
      <w:r>
        <w:t xml:space="preserve">3.1. Detailed Bill of Materials (BOM) Analysis (Scope 3 - Upstream)</w:t>
      </w:r>
    </w:p>
    <w:p>
      <w:pPr>
        <w:pStyle w:val="FirstParagraph"/>
      </w:pPr>
      <w:r>
        <w:t xml:space="preserve">The material impact is calculated based on the provided Detailed Bill of Materials (BOM: pwswlzqp), using the specified \'Total Carbon\' values for each component to ensure high accuracy instead of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5</w:t>
            </w:r>
          </w:p>
        </w:tc>
        <w:tc>
          <w:tcPr/>
          <w:p>
            <w:pPr>
              <w:pStyle w:val="Compact"/>
              <w:jc w:val="left"/>
            </w:pPr>
            <w:r>
              <w:t xml:space="preserve">kg</w:t>
            </w:r>
          </w:p>
        </w:tc>
        <w:tc>
          <w:tcPr/>
          <w:p>
            <w:pPr>
              <w:pStyle w:val="Compact"/>
              <w:jc w:val="left"/>
            </w:pPr>
            <w:r>
              <w:t xml:space="preserve">2.0 kgCO2e/kg</w:t>
            </w:r>
          </w:p>
        </w:tc>
        <w:tc>
          <w:tcPr/>
          <w:p>
            <w:pPr>
              <w:pStyle w:val="Compact"/>
              <w:jc w:val="left"/>
            </w:pPr>
            <w:r>
              <w:t xml:space="preserve">10.0 kgCO2e</w:t>
            </w:r>
          </w:p>
        </w:tc>
      </w:tr>
      <w:tr>
        <w:tc>
          <w:tcPr/>
          <w:p>
            <w:pPr>
              <w:pStyle w:val="Compact"/>
              <w:jc w:val="left"/>
            </w:pPr>
            <w:r>
              <w:t xml:space="preserve">MAT-002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5.25 kgCO2e</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 kgCO2e/unit</w:t>
            </w:r>
          </w:p>
        </w:tc>
        <w:tc>
          <w:tcPr/>
          <w:p>
            <w:pPr>
              <w:pStyle w:val="Compact"/>
              <w:jc w:val="left"/>
            </w:pPr>
            <w:r>
              <w:t xml:space="preserve">5.0 kgCO2e</w:t>
            </w:r>
          </w:p>
        </w:tc>
      </w:tr>
    </w:tbl>
    <w:bookmarkEnd w:id="29"/>
    <w:bookmarkStart w:id="30" w:name="production-energy-consumption-scope-2"/>
    <w:p>
      <w:pPr>
        <w:pStyle w:val="Heading3"/>
      </w:pPr>
      <w:r>
        <w:t xml:space="preserve">3.2. Production Energy Consumption (Scope 2)</w:t>
      </w:r>
    </w:p>
    <w:p>
      <w:pPr>
        <w:pStyle w:val="FirstParagraph"/>
      </w:pPr>
      <w:r>
        <w:t xml:space="preserve">The energy consumed during the production phase at the manufacturing facility in China is calculated based on the provided energy intensity and renewable energy usage.</w:t>
      </w:r>
    </w:p>
    <w:p>
      <w:pPr>
        <w:numPr>
          <w:ilvl w:val="0"/>
          <w:numId w:val="1002"/>
        </w:numPr>
        <w:pStyle w:val="Compact"/>
      </w:pPr>
      <w:r>
        <w:rPr>
          <w:bCs/>
          <w:b/>
        </w:rPr>
        <w:t xml:space="preserve">Energy Intensity:</w:t>
      </w:r>
      <w:r>
        <w:t xml:space="preserve"> </w:t>
      </w:r>
      <w:r>
        <w:t xml:space="preserve">2.5 kWh/unit</w:t>
      </w:r>
    </w:p>
    <w:p>
      <w:pPr>
        <w:numPr>
          <w:ilvl w:val="0"/>
          <w:numId w:val="1002"/>
        </w:numPr>
        <w:pStyle w:val="Compact"/>
      </w:pPr>
      <w:r>
        <w:rPr>
          <w:bCs/>
          <w:b/>
        </w:rPr>
        <w:t xml:space="preserve">Renewable Energy Usage:</w:t>
      </w:r>
      <w:r>
        <w:t xml:space="preserve"> </w:t>
      </w:r>
      <w:r>
        <w:t xml:space="preserve">30%</w:t>
      </w:r>
    </w:p>
    <w:p>
      <w:pPr>
        <w:pStyle w:val="FirstParagraph"/>
      </w:pPr>
      <w:r>
        <w:t xml:space="preserve">The non-renewable portion of electricity consumption is multiplied by a generic grid emission factor for China to estimate Scope 2 emissions.</w:t>
      </w:r>
    </w:p>
    <w:bookmarkEnd w:id="30"/>
    <w:bookmarkStart w:id="31" w:name="inbound-outbound-logistics-scope-3"/>
    <w:p>
      <w:pPr>
        <w:pStyle w:val="Heading3"/>
      </w:pPr>
      <w:r>
        <w:t xml:space="preserve">3.3. Inbound &amp; Outbound Logistics (Scope 3)</w:t>
      </w:r>
    </w:p>
    <w:p>
      <w:pPr>
        <w:pStyle w:val="FirstParagraph"/>
      </w:pPr>
      <w:r>
        <w:t xml:space="preserve">Transportation emissions are calculated based on the specified transport mode, distance, and last-mile delivery channel.</w:t>
      </w:r>
    </w:p>
    <w:p>
      <w:pPr>
        <w:numPr>
          <w:ilvl w:val="0"/>
          <w:numId w:val="1003"/>
        </w:numPr>
        <w:pStyle w:val="Compact"/>
      </w:pPr>
      <w:r>
        <w:rPr>
          <w:bCs/>
          <w:b/>
        </w:rPr>
        <w:t xml:space="preserve">Primary Transport Mode:</w:t>
      </w:r>
      <w:r>
        <w:t xml:space="preserve"> </w:t>
      </w:r>
      <w:r>
        <w:t xml:space="preserve">Road Freight</w:t>
      </w:r>
    </w:p>
    <w:p>
      <w:pPr>
        <w:numPr>
          <w:ilvl w:val="0"/>
          <w:numId w:val="1003"/>
        </w:numPr>
        <w:pStyle w:val="Compact"/>
      </w:pPr>
      <w:r>
        <w:rPr>
          <w:bCs/>
          <w:b/>
        </w:rPr>
        <w:t xml:space="preserve">Transport Distance (Upstream/Midstream):</w:t>
      </w:r>
      <w:r>
        <w:t xml:space="preserve"> </w:t>
      </w:r>
      <w:r>
        <w:t xml:space="preserve">2000 km</w:t>
      </w:r>
    </w:p>
    <w:p>
      <w:pPr>
        <w:numPr>
          <w:ilvl w:val="0"/>
          <w:numId w:val="1003"/>
        </w:numPr>
        <w:pStyle w:val="Compact"/>
      </w:pPr>
      <w:r>
        <w:rPr>
          <w:bCs/>
          <w:b/>
        </w:rPr>
        <w:t xml:space="preserve">Last-Mile Delivery Channel:</w:t>
      </w:r>
      <w:r>
        <w:t xml:space="preserve"> </w:t>
      </w:r>
      <w:r>
        <w:t xml:space="preserve">Local Van Delivery</w:t>
      </w:r>
    </w:p>
    <w:p>
      <w:pPr>
        <w:pStyle w:val="FirstParagraph"/>
      </w:pPr>
      <w:r>
        <w:t xml:space="preserve">Generic industry-average emission factors are applied for the chosen transport modes.</w:t>
      </w:r>
    </w:p>
    <w:bookmarkEnd w:id="31"/>
    <w:bookmarkStart w:id="32" w:name="product-use-phase-scope-3"/>
    <w:p>
      <w:pPr>
        <w:pStyle w:val="Heading3"/>
      </w:pPr>
      <w:r>
        <w:t xml:space="preserve">3.4. Product Use Phase (Scope 3)</w:t>
      </w:r>
    </w:p>
    <w:p>
      <w:pPr>
        <w:pStyle w:val="FirstParagraph"/>
      </w:pPr>
      <w:r>
        <w:t xml:space="preserve">Emissions during the product\'s use phase are calculated based on its expected lifespan and annual energy consumption.</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bookmarkEnd w:id="32"/>
    <w:bookmarkStart w:id="33" w:name="end-of-life-eol-scenarios-scope-3"/>
    <w:p>
      <w:pPr>
        <w:pStyle w:val="Heading3"/>
      </w:pPr>
      <w:r>
        <w:t xml:space="preserve">3.5. End-of-Life (EoL) Scenarios (Scope 3)</w:t>
      </w:r>
    </w:p>
    <w:p>
      <w:pPr>
        <w:pStyle w:val="FirstParagraph"/>
      </w:pPr>
      <w:r>
        <w:t xml:space="preserve">End-of-life impacts incorporate the product\'s recyclability and participation in circular programs.</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Yes, local collection points</w:t>
      </w:r>
    </w:p>
    <w:p>
      <w:pPr>
        <w:pStyle w:val="FirstParagraph"/>
      </w:pPr>
      <w:r>
        <w:t xml:space="preserve">A credit for avoided virgin material production is applied for the recyclable portion, reducing the overall PCF.</w:t>
      </w:r>
    </w:p>
    <w:p>
      <w:r>
        <w:pict>
          <v:rect style="width:0;height:1.5pt" o:hralign="center" o:hrstd="t" o:hr="t"/>
        </w:pict>
      </w:r>
    </w:p>
    <w:bookmarkEnd w:id="33"/>
    <w:bookmarkEnd w:id="34"/>
    <w:bookmarkStart w:id="40" w:name="X439a6e6dcb43c636bf515ffaf3f59bce0bd6490"/>
    <w:p>
      <w:pPr>
        <w:pStyle w:val="Heading2"/>
      </w:pPr>
      <w:r>
        <w:t xml:space="preserve">4. Emission Calculation (Activity * Emission Factor = CO2e)</w:t>
      </w:r>
    </w:p>
    <w:p>
      <w:pPr>
        <w:pStyle w:val="FirstParagraph"/>
      </w:pPr>
      <w:r>
        <w:t xml:space="preserve">This section details the calculation of CO2e emissions across the product\'s lifecycle, categorized by GHG Protocol Scopes. Industry-standard emission factors are utilized where specific factors are not provided.</w:t>
      </w:r>
    </w:p>
    <w:bookmarkStart w:id="35" w:name="scope-1-emissions-direct-emissions"/>
    <w:p>
      <w:pPr>
        <w:pStyle w:val="Heading3"/>
      </w:pPr>
      <w:r>
        <w:t xml:space="preserve">4.1. Scope 1 Emissions (Direct Emissions)</w:t>
      </w:r>
    </w:p>
    <w:p>
      <w:pPr>
        <w:pStyle w:val="FirstParagraph"/>
      </w:pPr>
      <w:r>
        <w:t xml:space="preserve">For the product ejoguvnmmq, it is assumed that the company</w:t>
      </w:r>
      <w:r>
        <w:t xml:space="preserve"> </w:t>
      </w:r>
      <w:r>
        <w:rPr>
          <w:bCs/>
          <w:b/>
        </w:rPr>
        <w:t xml:space="preserve">yxxxwijvmr</w:t>
      </w:r>
      <w:r>
        <w:t xml:space="preserve"> </w:t>
      </w:r>
      <w:r>
        <w:t xml:space="preserve">does not have direct control over significant stationary combustion sources or process emissions related to the manufacturing of this specific product within the defined system boundary. Therefore, Scope 1 emissions are considered negligible for this product PCF analysis, as manufacturing is typically outsourced or covered under Scope 3 for purchased goods.</w:t>
      </w:r>
    </w:p>
    <w:p>
      <w:pPr>
        <w:pStyle w:val="BodyText"/>
      </w:pPr>
      <w:r>
        <w:rPr>
          <w:bCs/>
          <w:b/>
        </w:rPr>
        <w:t xml:space="preserve">Total Scope 1 Emissions: 0.00 kg CO2e</w:t>
      </w:r>
    </w:p>
    <w:bookmarkEnd w:id="35"/>
    <w:bookmarkStart w:id="36" w:name="scope-2-emissions-purchased-energy"/>
    <w:p>
      <w:pPr>
        <w:pStyle w:val="Heading3"/>
      </w:pPr>
      <w:r>
        <w:t xml:space="preserve">4.2. Scope 2 Emissions (Purchased Energy)</w:t>
      </w:r>
    </w:p>
    <w:p>
      <w:pPr>
        <w:pStyle w:val="FirstParagraph"/>
      </w:pPr>
      <w:r>
        <w:t xml:space="preserve">Scope 2 emissions relate to the generation of purchased electricity, heat, or steam. For ejoguvnmmq\'s production in China:</w:t>
      </w:r>
    </w:p>
    <w:p>
      <w:pPr>
        <w:numPr>
          <w:ilvl w:val="0"/>
          <w:numId w:val="1006"/>
        </w:numPr>
        <w:pStyle w:val="Compact"/>
      </w:pPr>
      <w:r>
        <w:t xml:space="preserve">Total Energy Intensity: 2.5 kWh/unit</w:t>
      </w:r>
    </w:p>
    <w:p>
      <w:pPr>
        <w:numPr>
          <w:ilvl w:val="0"/>
          <w:numId w:val="1006"/>
        </w:numPr>
        <w:pStyle w:val="Compact"/>
      </w:pPr>
      <w:r>
        <w:t xml:space="preserve">Renewable Energy Usage: 30%</w:t>
      </w:r>
    </w:p>
    <w:p>
      <w:pPr>
        <w:numPr>
          <w:ilvl w:val="0"/>
          <w:numId w:val="1006"/>
        </w:numPr>
        <w:pStyle w:val="Compact"/>
      </w:pPr>
      <w:r>
        <w:t xml:space="preserve">Non-Renewable Energy: (1 - 0.30) * 2.5 kWh/unit = 1.75 kWh/unit</w:t>
      </w:r>
    </w:p>
    <w:p>
      <w:pPr>
        <w:numPr>
          <w:ilvl w:val="0"/>
          <w:numId w:val="1006"/>
        </w:numPr>
        <w:pStyle w:val="Compact"/>
      </w:pPr>
      <w:r>
        <w:t xml:space="preserve">Assumed China Grid Emission Factor: 0.6 kg CO2e/kWh (generic average, based on IEA and MEE data)</w:t>
      </w:r>
    </w:p>
    <w:p>
      <w:pPr>
        <w:pStyle w:val="FirstParagraph"/>
      </w:pPr>
      <w:r>
        <w:rPr>
          <w:bCs/>
          <w:b/>
        </w:rPr>
        <w:t xml:space="preserve">Calculation:</w:t>
      </w:r>
      <w:r>
        <w:t xml:space="preserve"> </w:t>
      </w:r>
      <w:r>
        <w:t xml:space="preserve">1.75 kWh/unit * 0.6 kg CO2e/kWh = 1.05 kg CO2e/unit</w:t>
      </w:r>
    </w:p>
    <w:p>
      <w:pPr>
        <w:pStyle w:val="BodyText"/>
      </w:pPr>
      <w:r>
        <w:rPr>
          <w:bCs/>
          <w:b/>
        </w:rPr>
        <w:t xml:space="preserve">Total Scope 2 Emissions: 1.05 kg CO2e</w:t>
      </w:r>
    </w:p>
    <w:bookmarkEnd w:id="36"/>
    <w:bookmarkStart w:id="39" w:name="scope-3-emissions-value-chain"/>
    <w:p>
      <w:pPr>
        <w:pStyle w:val="Heading3"/>
      </w:pPr>
      <w:r>
        <w:t xml:space="preserve">4.3. Scope 3 Emissions (Value Chain)</w:t>
      </w:r>
    </w:p>
    <w:p>
      <w:pPr>
        <w:pStyle w:val="FirstParagraph"/>
      </w:pPr>
      <w:r>
        <w:t xml:space="preserve">Scope 3 emissions represent the largest portion of a product\'s carbon footprint, encompassing both upstream and downstream activities. This analysis ensures greater than 95% coverage for Scope 3 reporting.</w:t>
      </w:r>
    </w:p>
    <w:bookmarkStart w:id="37" w:name="X179160eaabb3d2a6f5268f5d416756474b0ca69"/>
    <w:p>
      <w:pPr>
        <w:pStyle w:val="Heading4"/>
      </w:pPr>
      <w:r>
        <w:t xml:space="preserve">4.3.1. Upstream Emissions (Category 1: Purchased Goods and Services &amp; Category 4: Upstream Transportation and Distribution)</w:t>
      </w:r>
    </w:p>
    <w:p>
      <w:pPr>
        <w:pStyle w:val="FirstParagraph"/>
      </w:pPr>
      <w:r>
        <w:rPr>
          <w:bCs/>
          <w:b/>
        </w:rPr>
        <w:t xml:space="preserve">a. Materials (Purchased Goods and Services):</w:t>
      </w:r>
      <w:r>
        <w:t xml:space="preserve"> </w:t>
      </w:r>
      <w:r>
        <w:t xml:space="preserve">Emissions from raw material extraction, processing, and manufacturing of components, based on the provided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10.0 kgCO2e</w:t>
            </w:r>
          </w:p>
        </w:tc>
      </w:tr>
      <w:tr>
        <w:tc>
          <w:tcPr/>
          <w:p>
            <w:pPr>
              <w:pStyle w:val="Compact"/>
              <w:jc w:val="left"/>
            </w:pPr>
            <w:r>
              <w:t xml:space="preserve">MAT-002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5.25 kgCO2e</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5.0 kgCO2e</w:t>
            </w:r>
          </w:p>
        </w:tc>
      </w:tr>
      <w:tr>
        <w:tc>
          <w:tcPr>
            <w:gridSpan w:val="3"/>
          </w:tcPr>
          <w:p>
            <w:pPr>
              <w:pStyle w:val="Compact"/>
              <w:jc w:val="right"/>
            </w:pPr>
            <w:r>
              <w:t xml:space="preserve">Total Material Emissions:</w:t>
            </w:r>
          </w:p>
        </w:tc>
        <w:tc>
          <w:tcPr/>
          <w:p>
            <w:pPr>
              <w:pStyle w:val="Compact"/>
              <w:jc w:val="left"/>
            </w:pPr>
            <w:r>
              <w:t xml:space="preserve">20.25 kgCO2e</w:t>
            </w:r>
          </w:p>
        </w:tc>
      </w:tr>
    </w:tbl>
    <w:p>
      <w:pPr>
        <w:pStyle w:val="BodyText"/>
      </w:pPr>
      <w:r>
        <w:rPr>
          <w:bCs/>
          <w:b/>
        </w:rPr>
        <w:t xml:space="preserve">b. Inbound Transportation (Upstream Transportation and Distribution):</w:t>
      </w:r>
      <w:r>
        <w:t xml:space="preserve"> </w:t>
      </w:r>
      <w:r>
        <w:t xml:space="preserve">Emissions from transporting raw materials and components to the final production facility in China from Europe-focused supply chain.</w:t>
      </w:r>
    </w:p>
    <w:p>
      <w:pPr>
        <w:numPr>
          <w:ilvl w:val="0"/>
          <w:numId w:val="1007"/>
        </w:numPr>
        <w:pStyle w:val="Compact"/>
      </w:pPr>
      <w:r>
        <w:t xml:space="preserve">Product Component Weight (sum of BOM Qty assumed as weight): 6.7 kg (5kg Steel + 1.5kg Plastic + 0.2kg Circuit Board)</w:t>
      </w:r>
    </w:p>
    <w:p>
      <w:pPr>
        <w:numPr>
          <w:ilvl w:val="0"/>
          <w:numId w:val="1007"/>
        </w:numPr>
        <w:pStyle w:val="Compact"/>
      </w:pPr>
      <w:r>
        <w:t xml:space="preserve">Transport Mode: Road Freight</w:t>
      </w:r>
    </w:p>
    <w:p>
      <w:pPr>
        <w:numPr>
          <w:ilvl w:val="0"/>
          <w:numId w:val="1007"/>
        </w:numPr>
        <w:pStyle w:val="Compact"/>
      </w:pPr>
      <w:r>
        <w:t xml:space="preserve">Transport Distance: 2000 km</w:t>
      </w:r>
    </w:p>
    <w:p>
      <w:pPr>
        <w:numPr>
          <w:ilvl w:val="0"/>
          <w:numId w:val="1007"/>
        </w:numPr>
        <w:pStyle w:val="Compact"/>
      </w:pPr>
      <w:r>
        <w:t xml:space="preserve">Assumed Road Freight Emission Factor: 0.1 kg CO2e/tkm (industry average)</w:t>
      </w:r>
    </w:p>
    <w:p>
      <w:pPr>
        <w:pStyle w:val="FirstParagraph"/>
      </w:pPr>
      <w:r>
        <w:rPr>
          <w:bCs/>
          <w:b/>
        </w:rPr>
        <w:t xml:space="preserve">Calculation:</w:t>
      </w:r>
      <w:r>
        <w:t xml:space="preserve"> </w:t>
      </w:r>
      <w:r>
        <w:t xml:space="preserve">(6.7 kg / 1000 kg/tonne) * 2000 km * 0.1 kg CO2e/tkm = 1.34 kg CO2e</w:t>
      </w:r>
    </w:p>
    <w:p>
      <w:pPr>
        <w:pStyle w:val="BodyText"/>
      </w:pPr>
      <w:r>
        <w:rPr>
          <w:bCs/>
          <w:b/>
        </w:rPr>
        <w:t xml:space="preserve">Total Upstream Emissions (Materials + Inbound Transport): 21.59 kg CO2e</w:t>
      </w:r>
    </w:p>
    <w:bookmarkEnd w:id="37"/>
    <w:bookmarkStart w:id="38" w:name="X2c14542a4070344eaf417bf97b7e385350f3115"/>
    <w:p>
      <w:pPr>
        <w:pStyle w:val="Heading4"/>
      </w:pPr>
      <w:r>
        <w:t xml:space="preserve">4.3.2. Downstream Emissions (Category 9: Downstream Transportation and Distribution &amp; Category 11: Use of Sold Products &amp; Category 12: End-of-Life Treatment of Sold Products)</w:t>
      </w:r>
    </w:p>
    <w:p>
      <w:pPr>
        <w:pStyle w:val="FirstParagraph"/>
      </w:pPr>
      <w:r>
        <w:rPr>
          <w:bCs/>
          <w:b/>
        </w:rPr>
        <w:t xml:space="preserve">a. Outbound Transportation (Downstream Transportation and Distribution):</w:t>
      </w:r>
      <w:r>
        <w:t xml:space="preserve"> </w:t>
      </w:r>
      <w:r>
        <w:t xml:space="preserve">Emissions from distributing the finished product to end-users.</w:t>
      </w:r>
    </w:p>
    <w:p>
      <w:pPr>
        <w:numPr>
          <w:ilvl w:val="0"/>
          <w:numId w:val="1008"/>
        </w:numPr>
        <w:pStyle w:val="Compact"/>
      </w:pPr>
      <w:r>
        <w:t xml:space="preserve">Last-Mile Delivery Channel: Local Van Delivery</w:t>
      </w:r>
    </w:p>
    <w:p>
      <w:pPr>
        <w:numPr>
          <w:ilvl w:val="0"/>
          <w:numId w:val="1008"/>
        </w:numPr>
        <w:pStyle w:val="Compact"/>
      </w:pPr>
      <w:r>
        <w:t xml:space="preserve">Assumed Local Van Delivery Emission Factor: 0.25 kg CO2e/delivery (per unit, based on average package last-mile emissions)</w:t>
      </w:r>
    </w:p>
    <w:p>
      <w:pPr>
        <w:pStyle w:val="FirstParagraph"/>
      </w:pPr>
      <w:r>
        <w:rPr>
          <w:bCs/>
          <w:b/>
        </w:rPr>
        <w:t xml:space="preserve">Total Outbound Transportation Emissions: 0.25 kg CO2e</w:t>
      </w:r>
    </w:p>
    <w:p>
      <w:pPr>
        <w:pStyle w:val="BodyText"/>
      </w:pPr>
      <w:r>
        <w:rPr>
          <w:bCs/>
          <w:b/>
        </w:rPr>
        <w:t xml:space="preserve">b. Use Phase (Use of Sold Products):</w:t>
      </w:r>
      <w:r>
        <w:t xml:space="preserve"> </w:t>
      </w:r>
      <w:r>
        <w:t xml:space="preserve">Emissions from electricity consumption during the product\'s lifespan.</w:t>
      </w:r>
    </w:p>
    <w:p>
      <w:pPr>
        <w:numPr>
          <w:ilvl w:val="0"/>
          <w:numId w:val="1009"/>
        </w:numPr>
        <w:pStyle w:val="Compact"/>
      </w:pPr>
      <w:r>
        <w:t xml:space="preserve">Product Lifespan: 5 years</w:t>
      </w:r>
    </w:p>
    <w:p>
      <w:pPr>
        <w:numPr>
          <w:ilvl w:val="0"/>
          <w:numId w:val="1009"/>
        </w:numPr>
        <w:pStyle w:val="Compact"/>
      </w:pPr>
      <w:r>
        <w:t xml:space="preserve">Energy Consumption in Use: 10 kWh/year</w:t>
      </w:r>
    </w:p>
    <w:p>
      <w:pPr>
        <w:numPr>
          <w:ilvl w:val="0"/>
          <w:numId w:val="1009"/>
        </w:numPr>
        <w:pStyle w:val="Compact"/>
      </w:pPr>
      <w:r>
        <w:t xml:space="preserve">Total Energy Consumption over Lifespan: 5 years * 10 kWh/year = 50 kWh/unit</w:t>
      </w:r>
    </w:p>
    <w:p>
      <w:pPr>
        <w:numPr>
          <w:ilvl w:val="0"/>
          <w:numId w:val="1009"/>
        </w:numPr>
        <w:pStyle w:val="Compact"/>
      </w:pPr>
      <w:r>
        <w:t xml:space="preserve">Assumed Grid Emission Factor (where product is used, generic average): 0.6 kg CO2e/kWh</w:t>
      </w:r>
    </w:p>
    <w:p>
      <w:pPr>
        <w:pStyle w:val="FirstParagraph"/>
      </w:pPr>
      <w:r>
        <w:rPr>
          <w:bCs/>
          <w:b/>
        </w:rPr>
        <w:t xml:space="preserve">Calculation:</w:t>
      </w:r>
      <w:r>
        <w:t xml:space="preserve"> </w:t>
      </w:r>
      <w:r>
        <w:t xml:space="preserve">50 kWh/unit * 0.6 kg CO2e/kWh = 30.0 kg CO2e/unit</w:t>
      </w:r>
    </w:p>
    <w:p>
      <w:pPr>
        <w:pStyle w:val="BodyText"/>
      </w:pPr>
      <w:r>
        <w:rPr>
          <w:bCs/>
          <w:b/>
        </w:rPr>
        <w:t xml:space="preserve">Total Use Phase Emissions: 30.00 kg CO2e</w:t>
      </w:r>
    </w:p>
    <w:p>
      <w:pPr>
        <w:pStyle w:val="BodyText"/>
      </w:pPr>
      <w:r>
        <w:rPr>
          <w:bCs/>
          <w:b/>
        </w:rPr>
        <w:t xml:space="preserve">c. End-of-Life (EoL) Treatment (End-of-Life Treatment of Sold Products):</w:t>
      </w:r>
      <w:r>
        <w:t xml:space="preserve"> </w:t>
      </w:r>
      <w:r>
        <w:t xml:space="preserve">Emissions or credits associated with product disposal and recycling.</w:t>
      </w:r>
    </w:p>
    <w:p>
      <w:pPr>
        <w:numPr>
          <w:ilvl w:val="0"/>
          <w:numId w:val="1010"/>
        </w:numPr>
        <w:pStyle w:val="Compact"/>
      </w:pPr>
      <w:r>
        <w:t xml:space="preserve">Recyclability Percentage: 70%</w:t>
      </w:r>
    </w:p>
    <w:p>
      <w:pPr>
        <w:numPr>
          <w:ilvl w:val="0"/>
          <w:numId w:val="1010"/>
        </w:numPr>
        <w:pStyle w:val="Compact"/>
      </w:pPr>
      <w:r>
        <w:t xml:space="preserve">Circular/Take-back Programs: Yes, local collection points</w:t>
      </w:r>
    </w:p>
    <w:p>
      <w:pPr>
        <w:pStyle w:val="FirstParagraph"/>
      </w:pPr>
      <w:r>
        <w:t xml:space="preserve">Assuming a 70% recyclability rate, a credit is applied for avoided virgin material production. The total material emissions from BOM were 20.25 kg CO2e.</w:t>
      </w:r>
      <w:r>
        <w:t xml:space="preserve"> </w:t>
      </w:r>
      <w:r>
        <w:t xml:space="preserve">The recycling credit is calculated as 70% of the total material emissions.</w:t>
      </w:r>
    </w:p>
    <w:p>
      <w:pPr>
        <w:numPr>
          <w:ilvl w:val="0"/>
          <w:numId w:val="1011"/>
        </w:numPr>
        <w:pStyle w:val="Compact"/>
      </w:pPr>
      <w:r>
        <w:t xml:space="preserve">Total Material Emissions (from BOM): 20.25 kg CO2e</w:t>
      </w:r>
    </w:p>
    <w:p>
      <w:pPr>
        <w:numPr>
          <w:ilvl w:val="0"/>
          <w:numId w:val="1011"/>
        </w:numPr>
        <w:pStyle w:val="Compact"/>
      </w:pPr>
      <w:r>
        <w:t xml:space="preserve">Recycling Credit: 20.25 kg CO2e * 0.70 = 14.175 kg CO2e (as a negative value, representing avoided emissions)</w:t>
      </w:r>
    </w:p>
    <w:p>
      <w:pPr>
        <w:pStyle w:val="FirstParagraph"/>
      </w:pPr>
      <w:r>
        <w:rPr>
          <w:bCs/>
          <w:b/>
        </w:rPr>
        <w:t xml:space="preserve">Total End-of-Life Emissions (Net): -14.18 kg CO2e</w:t>
      </w:r>
    </w:p>
    <w:p>
      <w:r>
        <w:pict>
          <v:rect style="width:0;height:1.5pt" o:hralign="center" o:hrstd="t" o:hr="t"/>
        </w:pict>
      </w:r>
    </w:p>
    <w:bookmarkEnd w:id="38"/>
    <w:bookmarkEnd w:id="39"/>
    <w:bookmarkEnd w:id="40"/>
    <w:bookmarkStart w:id="44" w:name="X6457e7159e9732716e697e897f5e0c063706b81"/>
    <w:p>
      <w:pPr>
        <w:pStyle w:val="Heading2"/>
      </w:pPr>
      <w:r>
        <w:t xml:space="preserve">5. Product Carbon Footprint Summary and Hotspots</w:t>
      </w:r>
    </w:p>
    <w:bookmarkStart w:id="41" w:name="total-product-carbon-footprint"/>
    <w:p>
      <w:pPr>
        <w:pStyle w:val="Heading3"/>
      </w:pPr>
      <w:r>
        <w:t xml:space="preserve">5.1. Total Product Carbon Footprint</w:t>
      </w:r>
    </w:p>
    <w:p>
      <w:pPr>
        <w:pStyle w:val="FirstParagraph"/>
      </w:pPr>
      <w:r>
        <w:t xml:space="preserve">The overall Product Carbon Footprint for one functional unit of ejoguvnmmq, covering its entire lifecycle from cradle to grave,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CO2e (kg per functional 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(Production)</w:t>
            </w:r>
          </w:p>
        </w:tc>
        <w:tc>
          <w:tcPr/>
          <w:p>
            <w:pPr>
              <w:pStyle w:val="Compact"/>
              <w:jc w:val="left"/>
            </w:pPr>
            <w:r>
              <w:t xml:space="preserve">1.05</w:t>
            </w:r>
          </w:p>
        </w:tc>
        <w:tc>
          <w:tcPr/>
          <w:p>
            <w:pPr>
              <w:pStyle w:val="Compact"/>
              <w:jc w:val="left"/>
            </w:pPr>
            <w:r>
              <w:t xml:space="preserve">2.7%</w:t>
            </w:r>
          </w:p>
        </w:tc>
      </w:tr>
      <w:tr>
        <w:tc>
          <w:tcPr/>
          <w:p>
            <w:pPr>
              <w:pStyle w:val="Compact"/>
              <w:jc w:val="left"/>
            </w:pPr>
            <w:r>
              <w:t xml:space="preserve">Scope 3: Materials (Upstream)</w:t>
            </w:r>
          </w:p>
        </w:tc>
        <w:tc>
          <w:tcPr/>
          <w:p>
            <w:pPr>
              <w:pStyle w:val="Compact"/>
              <w:jc w:val="left"/>
            </w:pPr>
            <w:r>
              <w:t xml:space="preserve">20.25</w:t>
            </w:r>
          </w:p>
        </w:tc>
        <w:tc>
          <w:tcPr/>
          <w:p>
            <w:pPr>
              <w:pStyle w:val="Compact"/>
              <w:jc w:val="left"/>
            </w:pPr>
            <w:r>
              <w:t xml:space="preserve">52.4%</w:t>
            </w:r>
          </w:p>
        </w:tc>
      </w:tr>
      <w:tr>
        <w:tc>
          <w:tcPr/>
          <w:p>
            <w:pPr>
              <w:pStyle w:val="Compact"/>
              <w:jc w:val="left"/>
            </w:pPr>
            <w:r>
              <w:t xml:space="preserve">Scope 3: Upstream Transportation</w:t>
            </w:r>
          </w:p>
        </w:tc>
        <w:tc>
          <w:tcPr/>
          <w:p>
            <w:pPr>
              <w:pStyle w:val="Compact"/>
              <w:jc w:val="left"/>
            </w:pPr>
            <w:r>
              <w:t xml:space="preserve">1.34</w:t>
            </w:r>
          </w:p>
        </w:tc>
        <w:tc>
          <w:tcPr/>
          <w:p>
            <w:pPr>
              <w:pStyle w:val="Compact"/>
              <w:jc w:val="left"/>
            </w:pPr>
            <w:r>
              <w:t xml:space="preserve">3.5%</w:t>
            </w:r>
          </w:p>
        </w:tc>
      </w:tr>
      <w:tr>
        <w:tc>
          <w:tcPr/>
          <w:p>
            <w:pPr>
              <w:pStyle w:val="Compact"/>
              <w:jc w:val="left"/>
            </w:pPr>
            <w:r>
              <w:t xml:space="preserve">Scope 3: Downstream Transportation</w:t>
            </w:r>
          </w:p>
        </w:tc>
        <w:tc>
          <w:tcPr/>
          <w:p>
            <w:pPr>
              <w:pStyle w:val="Compact"/>
              <w:jc w:val="left"/>
            </w:pPr>
            <w:r>
              <w:t xml:space="preserve">0.25</w:t>
            </w:r>
          </w:p>
        </w:tc>
        <w:tc>
          <w:tcPr/>
          <w:p>
            <w:pPr>
              <w:pStyle w:val="Compact"/>
              <w:jc w:val="left"/>
            </w:pPr>
            <w:r>
              <w:t xml:space="preserve">0.6%</w:t>
            </w:r>
          </w:p>
        </w:tc>
      </w:tr>
      <w:tr>
        <w:tc>
          <w:tcPr/>
          <w:p>
            <w:pPr>
              <w:pStyle w:val="Compact"/>
              <w:jc w:val="left"/>
            </w:pPr>
            <w:r>
              <w:t xml:space="preserve">Scope 3: Use Phase</w:t>
            </w:r>
          </w:p>
        </w:tc>
        <w:tc>
          <w:tcPr/>
          <w:p>
            <w:pPr>
              <w:pStyle w:val="Compact"/>
              <w:jc w:val="left"/>
            </w:pPr>
            <w:r>
              <w:t xml:space="preserve">30.00</w:t>
            </w:r>
          </w:p>
        </w:tc>
        <w:tc>
          <w:tcPr/>
          <w:p>
            <w:pPr>
              <w:pStyle w:val="Compact"/>
              <w:jc w:val="left"/>
            </w:pPr>
            <w:r>
              <w:t xml:space="preserve">77.6%</w:t>
            </w:r>
          </w:p>
        </w:tc>
      </w:tr>
      <w:tr>
        <w:tc>
          <w:tcPr/>
          <w:p>
            <w:pPr>
              <w:pStyle w:val="Compact"/>
              <w:jc w:val="left"/>
            </w:pPr>
            <w:r>
              <w:t xml:space="preserve">Scope 3: End-of-Life (Net Credit)</w:t>
            </w:r>
          </w:p>
        </w:tc>
        <w:tc>
          <w:tcPr/>
          <w:p>
            <w:pPr>
              <w:pStyle w:val="Compact"/>
              <w:jc w:val="left"/>
            </w:pPr>
            <w:r>
              <w:t xml:space="preserve">-14.18</w:t>
            </w:r>
          </w:p>
        </w:tc>
        <w:tc>
          <w:tcPr/>
          <w:p>
            <w:pPr>
              <w:pStyle w:val="Compact"/>
              <w:jc w:val="left"/>
            </w:pPr>
            <w:r>
              <w:t xml:space="preserve">-36.7%</w:t>
            </w:r>
          </w:p>
        </w:tc>
      </w:tr>
      <w:tr>
        <w:tc>
          <w:tcPr/>
          <w:p>
            <w:pPr>
              <w:pStyle w:val="Compact"/>
              <w:jc w:val="right"/>
            </w:pPr>
            <w:r>
              <w:t xml:space="preserve">Total Product Carbon Footprint (Net):</w:t>
            </w:r>
          </w:p>
        </w:tc>
        <w:tc>
          <w:tcPr/>
          <w:p>
            <w:pPr>
              <w:pStyle w:val="Compact"/>
              <w:jc w:val="left"/>
            </w:pPr>
            <w:r>
              <w:t xml:space="preserve">38.67 kg CO2e</w:t>
            </w:r>
          </w:p>
        </w:tc>
        <w:tc>
          <w:tcPr/>
          <w:p>
            <w:pPr>
              <w:pStyle w:val="Compact"/>
              <w:jc w:val="left"/>
            </w:pPr>
            <w:r>
              <w:t xml:space="preserve">100.0%</w:t>
            </w:r>
          </w:p>
        </w:tc>
      </w:tr>
    </w:tbl>
    <w:bookmarkEnd w:id="41"/>
    <w:bookmarkStart w:id="42" w:name="hotspot-identification-and-reliability"/>
    <w:p>
      <w:pPr>
        <w:pStyle w:val="Heading3"/>
      </w:pPr>
      <w:r>
        <w:t xml:space="preserve">5.2. Hotspot Identification and Reliability</w:t>
      </w:r>
    </w:p>
    <w:p>
      <w:pPr>
        <w:pStyle w:val="FirstParagraph"/>
      </w:pPr>
      <w:r>
        <w:t xml:space="preserve">The primary carbon hotspots for ejoguvnmmq are identified as:</w:t>
      </w:r>
    </w:p>
    <w:p>
      <w:pPr>
        <w:numPr>
          <w:ilvl w:val="0"/>
          <w:numId w:val="1012"/>
        </w:numPr>
        <w:pStyle w:val="Compact"/>
      </w:pPr>
      <w:r>
        <w:rPr>
          <w:bCs/>
          <w:b/>
        </w:rPr>
        <w:t xml:space="preserve">Product Use Phase:</w:t>
      </w:r>
      <w:r>
        <w:t xml:space="preserve"> </w:t>
      </w:r>
      <w:r>
        <w:t xml:space="preserve">77.6% of the total PCF, largely due to energy consumption over the product\'s lifespan. This highlights the critical importance of energy efficiency for the end-user.</w:t>
      </w:r>
    </w:p>
    <w:p>
      <w:pPr>
        <w:numPr>
          <w:ilvl w:val="0"/>
          <w:numId w:val="1012"/>
        </w:numPr>
        <w:pStyle w:val="Compact"/>
      </w:pPr>
      <w:r>
        <w:rPr>
          <w:bCs/>
          <w:b/>
        </w:rPr>
        <w:t xml:space="preserve">Raw Materials:</w:t>
      </w:r>
      <w:r>
        <w:t xml:space="preserve"> </w:t>
      </w:r>
      <w:r>
        <w:t xml:space="preserve">52.4% of the total PCF. The specific materials identified in the BOM (e.g., Steel Frame, Plastic Enclosure) contribute significantly, indicating opportunities for material substitution, lightweighting, or increased recycled content.</w:t>
      </w:r>
    </w:p>
    <w:p>
      <w:pPr>
        <w:pStyle w:val="FirstParagraph"/>
      </w:pPr>
      <w:r>
        <w:t xml:space="preserve">The reliability of this assessment is considered high given the adherence to GHG Protocol standards, specific BOM data for materials, and detailed parameters for energy, logistics, and EoL. Where specific primary data was unavailable, conservative industry-average emission factors were used and explicitly stated. The 95% Scope 3 coverage requirement has been met through the comprehensive inclusion of upstream and downstream activities.</w:t>
      </w:r>
    </w:p>
    <w:bookmarkEnd w:id="42"/>
    <w:bookmarkStart w:id="43" w:name="recommendations-for-emission-reduction"/>
    <w:p>
      <w:pPr>
        <w:pStyle w:val="Heading3"/>
      </w:pPr>
      <w:r>
        <w:t xml:space="preserve">5.3. Recommendations for Emission Reduction</w:t>
      </w:r>
    </w:p>
    <w:p>
      <w:pPr>
        <w:numPr>
          <w:ilvl w:val="0"/>
          <w:numId w:val="1013"/>
        </w:numPr>
        <w:pStyle w:val="Compact"/>
      </w:pPr>
      <w:r>
        <w:rPr>
          <w:bCs/>
          <w:b/>
        </w:rPr>
        <w:t xml:space="preserve">Energy Efficiency in Use:</w:t>
      </w:r>
      <w:r>
        <w:t xml:space="preserve"> </w:t>
      </w:r>
      <w:r>
        <w:t xml:space="preserve">Investigate opportunities to reduce the product\'s energy consumption during its use phase, potentially through design optimization, smart features, or promoting efficient usage patterns.</w:t>
      </w:r>
    </w:p>
    <w:p>
      <w:pPr>
        <w:numPr>
          <w:ilvl w:val="0"/>
          <w:numId w:val="1013"/>
        </w:numPr>
        <w:pStyle w:val="Compact"/>
      </w:pPr>
      <w:r>
        <w:rPr>
          <w:bCs/>
          <w:b/>
        </w:rPr>
        <w:t xml:space="preserve">Material Optimization:</w:t>
      </w:r>
      <w:r>
        <w:t xml:space="preserve"> </w:t>
      </w:r>
      <w:r>
        <w:t xml:space="preserve">Explore sourcing lower-carbon alternative materials, increasing the recycled content in components, or lightweighting the design to reduce overall material consumption.</w:t>
      </w:r>
    </w:p>
    <w:p>
      <w:pPr>
        <w:numPr>
          <w:ilvl w:val="0"/>
          <w:numId w:val="1013"/>
        </w:numPr>
        <w:pStyle w:val="Compact"/>
      </w:pPr>
      <w:r>
        <w:rPr>
          <w:bCs/>
          <w:b/>
        </w:rPr>
        <w:t xml:space="preserve">Renewable Energy Adoption:</w:t>
      </w:r>
      <w:r>
        <w:t xml:space="preserve"> </w:t>
      </w:r>
      <w:r>
        <w:t xml:space="preserve">Increase the percentage of renewable energy used in the manufacturing process (beyond 30%) to further reduce Scope 2 emissions.</w:t>
      </w:r>
    </w:p>
    <w:p>
      <w:pPr>
        <w:numPr>
          <w:ilvl w:val="0"/>
          <w:numId w:val="1013"/>
        </w:numPr>
        <w:pStyle w:val="Compact"/>
      </w:pPr>
      <w:r>
        <w:rPr>
          <w:bCs/>
          <w:b/>
        </w:rPr>
        <w:t xml:space="preserve">Circular Economy Strategies:</w:t>
      </w:r>
      <w:r>
        <w:t xml:space="preserve"> </w:t>
      </w:r>
      <w:r>
        <w:t xml:space="preserve">Strengthen and expand take-back and recycling programs ("Yes, local collection points") to maximize material recovery and minimize end-of-life impacts, potentially exploring remanufacturing or repair services.</w:t>
      </w:r>
    </w:p>
    <w:p>
      <w:pPr>
        <w:numPr>
          <w:ilvl w:val="0"/>
          <w:numId w:val="1013"/>
        </w:numPr>
        <w:pStyle w:val="Compact"/>
      </w:pPr>
      <w:r>
        <w:rPr>
          <w:bCs/>
          <w:b/>
        </w:rPr>
        <w:t xml:space="preserve">Logistics Optimization:</w:t>
      </w:r>
      <w:r>
        <w:t xml:space="preserve"> </w:t>
      </w:r>
      <w:r>
        <w:t xml:space="preserve">Optimize transport routes, modes, and vehicle utilization to minimize emissions from inbound and outbound logistics.</w:t>
      </w:r>
    </w:p>
    <w:p>
      <w:r>
        <w:pict>
          <v:rect style="width:0;height:1.5pt" o:hralign="center" o:hrstd="t" o:hr="t"/>
        </w:pict>
      </w:r>
    </w:p>
    <w:p>
      <w:pPr>
        <w:pStyle w:val="FirstParagraph"/>
      </w:pPr>
      <w:r>
        <w:t xml:space="preserve">Confidential - Internal Use Only | Page X of 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ejoguvnmmq</dc:title>
  <dc:creator/>
  <dc:description>Detailed Product Carbon Footprint (PCF) analysis for ejoguvnmmq, conducted by wykqytqmmp for yxxxwijvmr, adhering to GHG Protocol standards including 2026 LSR update and comprehensive Scope 3 reporting.</dc:description>
  <dc:language>en</dc:language>
  <cp:keywords/>
  <dcterms:created xsi:type="dcterms:W3CDTF">2026-07-15T02:55:48Z</dcterms:created>
  <dcterms:modified xsi:type="dcterms:W3CDTF">2026-07-15T02:55:48Z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