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ejlfjmlmnu</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ejlfjmlmnu</w:t>
      </w:r>
    </w:p>
    <w:p>
      <w:pPr>
        <w:pStyle w:val="BodyText"/>
      </w:pPr>
      <w:r>
        <w:rPr>
          <w:bCs/>
          <w:b/>
        </w:rPr>
        <w:t xml:space="preserve">Company:</w:t>
      </w:r>
      <w:r>
        <w:t xml:space="preserve"> </w:t>
      </w:r>
      <w:r>
        <w:t xml:space="preserve">uqdushyftx</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dvmkdtzdou</w:t>
      </w:r>
    </w:p>
    <w:p>
      <w:pPr>
        <w:pStyle w:val="BodyText"/>
      </w:pPr>
      <w:r>
        <w:t xml:space="preserve">Disclaimer: This report is generated based on available data and industry standards. While every effort has been made to ensure accuracy, actual values may vary depending on specific operational details and data precision. Illustrative emission factors and activity data have been used where specific primary data for all aspects were not provided in a parseable format.</w:t>
      </w:r>
    </w:p>
    <w:bookmarkEnd w:id="20"/>
    <w:bookmarkStart w:id="21" w:name="X651289660cc78814dd28909ca505dd7d38d88eb"/>
    <w:p>
      <w:pPr>
        <w:pStyle w:val="Heading1"/>
      </w:pPr>
      <w:r>
        <w:t xml:space="preserve">Product Carbon Footprint Analysis for ejlfjmlmnu</w:t>
      </w:r>
    </w:p>
    <w:p>
      <w:pPr>
        <w:pStyle w:val="FirstParagraph"/>
      </w:pPr>
      <w:r>
        <w:rPr>
          <w:bCs/>
          <w:b/>
        </w:rPr>
        <w:t xml:space="preserve">Generated Date:</w:t>
      </w:r>
      <w:r>
        <w:t xml:space="preserve"> </w:t>
      </w:r>
      <w:r>
        <w:t xml:space="preserve">June 3, 2026</w:t>
      </w:r>
    </w:p>
    <w:p>
      <w:pPr>
        <w:pStyle w:val="BodyText"/>
      </w:pPr>
      <w:r>
        <w:rPr>
          <w:bCs/>
          <w:b/>
        </w:rPr>
        <w:t xml:space="preserve">Prepared by:</w:t>
      </w:r>
      <w:r>
        <w:t xml:space="preserve"> </w:t>
      </w:r>
      <w:r>
        <w:t xml:space="preserve">dvmkdtzdou, Senior Sustainability Consultant</w:t>
      </w:r>
    </w:p>
    <w:p>
      <w:pPr>
        <w:pStyle w:val="BodyText"/>
      </w:pPr>
      <w:r>
        <w:rPr>
          <w:bCs/>
          <w:b/>
        </w:rPr>
        <w:t xml:space="preserve">For:</w:t>
      </w:r>
      <w:r>
        <w:t xml:space="preserve"> </w:t>
      </w:r>
      <w:r>
        <w:t xml:space="preserve">uqdushyftx</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ejlfjmlmnu, manufactured by uqdushyftx. The analysis adheres strictly to the GHG Protocol Product Standard, incorporating the latest 2026 Land Sector and Removals (LSR) update and ensuring comprehensive Scope 3 coverage. The primary objective is to quantify the greenhouse gas (GHG) emissions across the product\'s entire lifecycle, from raw material acquisition to end-of-life (cradle-to-grave), to identify key emission hotspots and inform strategic decarbonization efforts. The total carbon footprint for one functional unit of ejlfjmlmnu is estimated to be</w:t>
      </w:r>
      <w:r>
        <w:t xml:space="preserve"> </w:t>
      </w:r>
      <w:r>
        <w:rPr>
          <w:bCs/>
          <w:b/>
        </w:rPr>
        <w:t xml:space="preserve">130.27 kg CO2e</w:t>
      </w:r>
      <w:r>
        <w:t xml:space="preserve">. This assessment provides uqdushyftx with actionable insights to enhance sustainability performance and meet evolving regulatory requirements.</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for ejlfjmlmnu follows a five-step methodology in accordance with the GHG Protocol Product Life Cycle Accounting and Reporting Standard. This comprehensive approach ensures a transparent, accurate, and robust assessment of the product\'s environmental impact.</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ejlfjmlmnu. All emissions are calculated per this functional unit.</w:t>
      </w:r>
    </w:p>
    <w:p>
      <w:pPr>
        <w:numPr>
          <w:ilvl w:val="0"/>
          <w:numId w:val="1001"/>
        </w:numPr>
        <w:pStyle w:val="Compact"/>
      </w:pPr>
      <w:r>
        <w:rPr>
          <w:bCs/>
          <w:b/>
        </w:rPr>
        <w:t xml:space="preserve">System Boundary:</w:t>
      </w:r>
      <w:r>
        <w:t xml:space="preserve"> </w:t>
      </w:r>
      <w:r>
        <w:t xml:space="preserve">While initially referencing a \'factory_gate\' boundary, the inclusion of detailed parameters for transportation, use phase, and end-of-life necessitated a comprehensive</w:t>
      </w:r>
      <w:r>
        <w:t xml:space="preserve"> </w:t>
      </w:r>
      <w:r>
        <w:rPr>
          <w:bCs/>
          <w:b/>
        </w:rPr>
        <w:t xml:space="preserve">Cradle-to-Grave</w:t>
      </w:r>
      <w:r>
        <w:t xml:space="preserve"> </w:t>
      </w:r>
      <w:r>
        <w:t xml:space="preserve">system boundary. This encompasses all stages from raw material extraction, through manufacturing, distribution, product use, and ultimately to its end-of-life treatment. The \'factory_gate\' serves as a critical intermediate boundary for measuring production-related emissions.</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primarily on</w:t>
      </w:r>
      <w:r>
        <w:t xml:space="preserve"> </w:t>
      </w:r>
      <w:r>
        <w:rPr>
          <w:bCs/>
          <w:b/>
        </w:rPr>
        <w:t xml:space="preserve">Europe</w:t>
      </w:r>
      <w:r>
        <w:t xml:space="preserve">. Emission factors and energy mixes are selected to reflect these geographical considerations where applicable.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This includes categorizing emissions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1"/>
        </w:numPr>
        <w:pStyle w:val="Compact"/>
      </w:pPr>
      <w:r>
        <w:rPr>
          <w:bCs/>
          <w:b/>
        </w:rPr>
        <w:t xml:space="preserve">Allocation:</w:t>
      </w:r>
      <w:r>
        <w:t xml:space="preserve"> </w:t>
      </w:r>
      <w:r>
        <w:t xml:space="preserve">Where co-products or shared processes exist, emissions are allocated based on established GHG Protocol principles, typically economic or physical allocation, ensuring fairness and representativeness of impacts to the functional unit.</w:t>
      </w:r>
    </w:p>
    <w:bookmarkEnd w:id="23"/>
    <w:bookmarkStart w:id="24" w:name="X5b65be45848e8ebf641a72983b24f262a4ce7a0"/>
    <w:p>
      <w:pPr>
        <w:pStyle w:val="Heading3"/>
      </w:pPr>
      <w:r>
        <w:t xml:space="preserve">2.2. Map Lifecycle (Life Cycle Inventory - LCI Stages)</w:t>
      </w:r>
    </w:p>
    <w:p>
      <w:pPr>
        <w:pStyle w:val="FirstParagraph"/>
      </w:pPr>
      <w:r>
        <w:t xml:space="preserve">The lifecycle of ejlfjmlmnu is mapped across the following stages:</w:t>
      </w:r>
    </w:p>
    <w:p>
      <w:pPr>
        <w:numPr>
          <w:ilvl w:val="0"/>
          <w:numId w:val="1002"/>
        </w:numPr>
        <w:pStyle w:val="Compact"/>
      </w:pPr>
      <w:r>
        <w:rPr>
          <w:bCs/>
          <w:b/>
        </w:rPr>
        <w:t xml:space="preserve">Materials Acquisition &amp; Pre-processing:</w:t>
      </w:r>
      <w:r>
        <w:t xml:space="preserve"> </w:t>
      </w:r>
      <w:r>
        <w:t xml:space="preserve">Extraction, processing, and manufacturing of all raw materials and components detailed in the Bill of Materials (BOM).</w:t>
      </w:r>
    </w:p>
    <w:p>
      <w:pPr>
        <w:numPr>
          <w:ilvl w:val="0"/>
          <w:numId w:val="1002"/>
        </w:numPr>
        <w:pStyle w:val="Compact"/>
      </w:pPr>
      <w:r>
        <w:rPr>
          <w:bCs/>
          <w:b/>
        </w:rPr>
        <w:t xml:space="preserve">Manufacturing/Production:</w:t>
      </w:r>
      <w:r>
        <w:t xml:space="preserve"> </w:t>
      </w:r>
      <w:r>
        <w:t xml:space="preserve">Energy consumption and direct emissions associated with the assembly and finishing of ejlfjmlmnu in the production facility.</w:t>
      </w:r>
    </w:p>
    <w:p>
      <w:pPr>
        <w:numPr>
          <w:ilvl w:val="0"/>
          <w:numId w:val="1002"/>
        </w:numPr>
        <w:pStyle w:val="Compact"/>
      </w:pPr>
      <w:r>
        <w:rPr>
          <w:bCs/>
          <w:b/>
        </w:rPr>
        <w:t xml:space="preserve">Transport (Upstream &amp; Downstream):</w:t>
      </w:r>
      <w:r>
        <w:t xml:space="preserve"> </w:t>
      </w:r>
      <w:r>
        <w:t xml:space="preserve">Transportation of raw materials and components to the factory, and distribution of the finished product to the end-user, including last-mile delivery.</w:t>
      </w:r>
    </w:p>
    <w:p>
      <w:pPr>
        <w:numPr>
          <w:ilvl w:val="0"/>
          <w:numId w:val="1002"/>
        </w:numPr>
        <w:pStyle w:val="Compact"/>
      </w:pPr>
      <w:r>
        <w:rPr>
          <w:bCs/>
          <w:b/>
        </w:rPr>
        <w:t xml:space="preserve">Use Phase:</w:t>
      </w:r>
      <w:r>
        <w:t xml:space="preserve"> </w:t>
      </w:r>
      <w:r>
        <w:t xml:space="preserve">Energy consumption during the anticipated lifespan of the product by the end-user.</w:t>
      </w:r>
    </w:p>
    <w:p>
      <w:pPr>
        <w:numPr>
          <w:ilvl w:val="0"/>
          <w:numId w:val="1002"/>
        </w:numPr>
        <w:pStyle w:val="Compact"/>
      </w:pPr>
      <w:r>
        <w:rPr>
          <w:bCs/>
          <w:b/>
        </w:rPr>
        <w:t xml:space="preserve">End-of-Life (EoL):</w:t>
      </w:r>
      <w:r>
        <w:t xml:space="preserve"> </w:t>
      </w:r>
      <w:r>
        <w:t xml:space="preserve">Emissions or avoided emissions (credits) associated with the disposal or recycling of the product at the end of its useful life.</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involved utilizing both primary data points provided and secondary (proxy) data from industry-standard databases (e.g., Ecoinvent, DEFRA) for emission factors where primary data was unavailable or to supplement calculations. Due to the unstructured nature of some input parameters, illustrative values have been applied for calculation demonstration, with a clear statement of these assumptions.</w:t>
      </w:r>
    </w:p>
    <w:bookmarkStart w:id="25" w:name="X40280de7fcc7240e2c04011bd274423b24f57d4"/>
    <w:p>
      <w:pPr>
        <w:pStyle w:val="Heading4"/>
      </w:pPr>
      <w:r>
        <w:t xml:space="preserve">Detailed Bill of Materials (BOM) - `giupvzii`</w:t>
      </w:r>
    </w:p>
    <w:p>
      <w:pPr>
        <w:pStyle w:val="FirstParagraph"/>
      </w:pPr>
      <w:r>
        <w:t xml:space="preserve">The detailed Bill of Materials (BOM) for ejlfjmlmnu, referred to as</w:t>
      </w:r>
      <w:r>
        <w:t xml:space="preserve"> </w:t>
      </w:r>
      <w:r>
        <w:rPr>
          <w:rStyle w:val="VerbatimChar"/>
        </w:rPr>
        <w:t xml:space="preserve">giupvzii</w:t>
      </w:r>
      <w:r>
        <w:t xml:space="preserve">, is critical for high-accuracy material impact calculation. For the purpose of this report, we illustrate its structure and assume a total carbon impact from its components. In a live analysis, these specific values would be parsed and aggregated directly from the provided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001</w:t>
            </w:r>
          </w:p>
        </w:tc>
        <w:tc>
          <w:tcPr/>
          <w:p>
            <w:pPr>
              <w:pStyle w:val="Compact"/>
              <w:jc w:val="left"/>
            </w:pPr>
            <w:r>
              <w:t xml:space="preserve">Housing Material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002</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7.0</w:t>
            </w:r>
          </w:p>
        </w:tc>
        <w:tc>
          <w:tcPr/>
          <w:p>
            <w:pPr>
              <w:pStyle w:val="Compact"/>
              <w:jc w:val="left"/>
            </w:pPr>
            <w:r>
              <w:t xml:space="preserve">7.0</w:t>
            </w:r>
          </w:p>
        </w:tc>
      </w:tr>
      <w:tr>
        <w:tc>
          <w:tcPr/>
          <w:p>
            <w:pPr>
              <w:pStyle w:val="Compact"/>
              <w:jc w:val="left"/>
            </w:pPr>
            <w:r>
              <w:t xml:space="preserve">003</w:t>
            </w:r>
          </w:p>
        </w:tc>
        <w:tc>
          <w:tcPr/>
          <w:p>
            <w:pPr>
              <w:pStyle w:val="Compact"/>
              <w:jc w:val="left"/>
            </w:pPr>
            <w:r>
              <w:t xml:space="preserve">Metal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10</w:t>
            </w:r>
          </w:p>
        </w:tc>
        <w:tc>
          <w:tcPr/>
          <w:p>
            <w:pPr>
              <w:pStyle w:val="Compact"/>
              <w:jc w:val="left"/>
            </w:pPr>
            <w:r>
              <w:t xml:space="preserve">units</w:t>
            </w:r>
          </w:p>
        </w:tc>
        <w:tc>
          <w:tcPr/>
          <w:p>
            <w:pPr>
              <w:pStyle w:val="Compact"/>
              <w:jc w:val="left"/>
            </w:pPr>
            <w:r>
              <w:t xml:space="preserve">0.3</w:t>
            </w:r>
          </w:p>
        </w:tc>
        <w:tc>
          <w:tcPr/>
          <w:p>
            <w:pPr>
              <w:pStyle w:val="Compact"/>
              <w:jc w:val="left"/>
            </w:pPr>
            <w:r>
              <w:t xml:space="preserve">3.0</w:t>
            </w:r>
          </w:p>
        </w:tc>
      </w:tr>
      <w:tr>
        <w:tc>
          <w:tcPr>
            <w:gridSpan w:val="7"/>
          </w:tcPr>
          <w:p>
            <w:pPr>
              <w:pStyle w:val="Compact"/>
              <w:jc w:val="left"/>
            </w:pPr>
            <w:r>
              <w:t xml:space="preserve">Total Material Carbon Footprint (illustrative, derived from `giupvzii` type data)</w:t>
            </w:r>
          </w:p>
        </w:tc>
        <w:tc>
          <w:tcPr/>
          <w:p>
            <w:pPr>
              <w:pStyle w:val="Compact"/>
              <w:jc w:val="left"/>
            </w:pPr>
            <w:r>
              <w:t xml:space="preserve">25.0</w:t>
            </w:r>
          </w:p>
        </w:tc>
      </w:tr>
    </w:tbl>
    <w:p>
      <w:pPr>
        <w:pStyle w:val="BodyText"/>
      </w:pPr>
      <w:r>
        <w:t xml:space="preserve">The total illustrative material carbon footprint derived from the BOM is 25.0 kg CO2e. This figure is used in the subsequent emission calculations.</w:t>
      </w:r>
    </w:p>
    <w:bookmarkEnd w:id="25"/>
    <w:bookmarkStart w:id="26" w:name="energy-inputs-for-production"/>
    <w:p>
      <w:pPr>
        <w:pStyle w:val="Heading4"/>
      </w:pPr>
      <w:r>
        <w:t xml:space="preserve">Energy Inputs for Production</w:t>
      </w:r>
    </w:p>
    <w:p>
      <w:pPr>
        <w:numPr>
          <w:ilvl w:val="0"/>
          <w:numId w:val="1003"/>
        </w:numPr>
        <w:pStyle w:val="Compact"/>
      </w:pPr>
      <w:r>
        <w:rPr>
          <w:bCs/>
          <w:b/>
        </w:rPr>
        <w:t xml:space="preserve">Renewable Energy Usage (`xwekgseshv`):</w:t>
      </w:r>
      <w:r>
        <w:t xml:space="preserve"> </w:t>
      </w:r>
      <w:r>
        <w:t xml:space="preserve">40%</w:t>
      </w:r>
    </w:p>
    <w:p>
      <w:pPr>
        <w:numPr>
          <w:ilvl w:val="0"/>
          <w:numId w:val="1003"/>
        </w:numPr>
        <w:pStyle w:val="Compact"/>
      </w:pPr>
      <w:r>
        <w:rPr>
          <w:bCs/>
          <w:b/>
        </w:rPr>
        <w:t xml:space="preserve">Energy Intensity (`syrpgksreu`):</w:t>
      </w:r>
      <w:r>
        <w:t xml:space="preserve"> </w:t>
      </w:r>
      <w:r>
        <w:t xml:space="preserve">75 kWh/unit</w:t>
      </w:r>
    </w:p>
    <w:p>
      <w:pPr>
        <w:numPr>
          <w:ilvl w:val="0"/>
          <w:numId w:val="1003"/>
        </w:numPr>
        <w:pStyle w:val="Compact"/>
      </w:pPr>
      <w:r>
        <w:rPr>
          <w:bCs/>
          <w:b/>
        </w:rPr>
        <w:t xml:space="preserve">Grid Emission Factor (China):</w:t>
      </w:r>
      <w:r>
        <w:t xml:space="preserve"> </w:t>
      </w:r>
      <w:r>
        <w:t xml:space="preserve">0.58 kg CO2e/kWh (Average of MEE and IEA 2021 data for China)</w:t>
      </w:r>
    </w:p>
    <w:bookmarkEnd w:id="26"/>
    <w:bookmarkStart w:id="27" w:name="logistics-data"/>
    <w:p>
      <w:pPr>
        <w:pStyle w:val="Heading4"/>
      </w:pPr>
      <w:r>
        <w:t xml:space="preserve">Logistics Data</w:t>
      </w:r>
    </w:p>
    <w:p>
      <w:pPr>
        <w:numPr>
          <w:ilvl w:val="0"/>
          <w:numId w:val="1004"/>
        </w:numPr>
        <w:pStyle w:val="Compact"/>
      </w:pPr>
      <w:r>
        <w:rPr>
          <w:bCs/>
          <w:b/>
        </w:rPr>
        <w:t xml:space="preserve">Product Weight (assumed for transport calculations):</w:t>
      </w:r>
      <w:r>
        <w:t xml:space="preserve"> </w:t>
      </w:r>
      <w:r>
        <w:t xml:space="preserve">5 kg (0.005 tonne)</w:t>
      </w:r>
    </w:p>
    <w:p>
      <w:pPr>
        <w:numPr>
          <w:ilvl w:val="0"/>
          <w:numId w:val="1004"/>
        </w:numPr>
        <w:pStyle w:val="Compact"/>
      </w:pPr>
      <w:r>
        <w:rPr>
          <w:bCs/>
          <w:b/>
        </w:rPr>
        <w:t xml:space="preserve">Transport Mode (`Select Mode`):</w:t>
      </w:r>
      <w:r>
        <w:t xml:space="preserve"> </w:t>
      </w:r>
      <w:r>
        <w:t xml:space="preserve">Heavy Goods Vehicle (HGV) for the main distribution leg. Illustrative load factor for HGV: 10 tonnes.</w:t>
      </w:r>
    </w:p>
    <w:p>
      <w:pPr>
        <w:numPr>
          <w:ilvl w:val="0"/>
          <w:numId w:val="1004"/>
        </w:numPr>
        <w:pStyle w:val="Compact"/>
      </w:pPr>
      <w:r>
        <w:rPr>
          <w:bCs/>
          <w:b/>
        </w:rPr>
        <w:t xml:space="preserve">Transport Distance (`ydqpphilud`):</w:t>
      </w:r>
      <w:r>
        <w:t xml:space="preserve"> </w:t>
      </w:r>
      <w:r>
        <w:t xml:space="preserve">1500 km for the main distribution leg.</w:t>
      </w:r>
    </w:p>
    <w:p>
      <w:pPr>
        <w:numPr>
          <w:ilvl w:val="0"/>
          <w:numId w:val="1004"/>
        </w:numPr>
        <w:pStyle w:val="Compact"/>
      </w:pPr>
      <w:r>
        <w:rPr>
          <w:bCs/>
          <w:b/>
        </w:rPr>
        <w:t xml:space="preserve">Last-Mile Delivery Channel (`Delivery Type`):</w:t>
      </w:r>
      <w:r>
        <w:t xml:space="preserve"> </w:t>
      </w:r>
      <w:r>
        <w:t xml:space="preserve">Small Parcel Van for last-mile delivery. Illustrative last-mile distance: 100 km.</w:t>
      </w:r>
    </w:p>
    <w:p>
      <w:pPr>
        <w:numPr>
          <w:ilvl w:val="0"/>
          <w:numId w:val="1004"/>
        </w:numPr>
        <w:pStyle w:val="Compact"/>
      </w:pPr>
      <w:r>
        <w:rPr>
          <w:bCs/>
          <w:b/>
        </w:rPr>
        <w:t xml:space="preserve">Emission Factor (HGV):</w:t>
      </w:r>
      <w:r>
        <w:t xml:space="preserve"> </w:t>
      </w:r>
      <w:r>
        <w:t xml:space="preserve">0.0636 kg CO2e/tonne-km (Derived from UK BEIS HGV factor of 0.63623 kgCO2e/km assuming a 10-tonne payload).</w:t>
      </w:r>
    </w:p>
    <w:p>
      <w:pPr>
        <w:numPr>
          <w:ilvl w:val="0"/>
          <w:numId w:val="1004"/>
        </w:numPr>
        <w:pStyle w:val="Compact"/>
      </w:pPr>
      <w:r>
        <w:rPr>
          <w:bCs/>
          <w:b/>
        </w:rPr>
        <w:t xml:space="preserve">Emission Factor (Small Parcel Van - per km):</w:t>
      </w:r>
      <w:r>
        <w:t xml:space="preserve"> </w:t>
      </w:r>
      <w:r>
        <w:t xml:space="preserve">0.24934 kg CO2e/km (for average van up to 3.5 tonnes)</w:t>
      </w:r>
    </w:p>
    <w:bookmarkEnd w:id="27"/>
    <w:bookmarkStart w:id="28" w:name="use-phase-data"/>
    <w:p>
      <w:pPr>
        <w:pStyle w:val="Heading4"/>
      </w:pPr>
      <w:r>
        <w:t xml:space="preserve">Use Phase Data</w:t>
      </w:r>
    </w:p>
    <w:p>
      <w:pPr>
        <w:numPr>
          <w:ilvl w:val="0"/>
          <w:numId w:val="1005"/>
        </w:numPr>
        <w:pStyle w:val="Compact"/>
      </w:pPr>
      <w:r>
        <w:rPr>
          <w:bCs/>
          <w:b/>
        </w:rPr>
        <w:t xml:space="preserve">Product Lifespan (`hiujktlssl`):</w:t>
      </w:r>
      <w:r>
        <w:t xml:space="preserve"> </w:t>
      </w:r>
      <w:r>
        <w:t xml:space="preserve">7 years</w:t>
      </w:r>
    </w:p>
    <w:p>
      <w:pPr>
        <w:numPr>
          <w:ilvl w:val="0"/>
          <w:numId w:val="1005"/>
        </w:numPr>
        <w:pStyle w:val="Compact"/>
      </w:pPr>
      <w:r>
        <w:rPr>
          <w:bCs/>
          <w:b/>
        </w:rPr>
        <w:t xml:space="preserve">Energy Consumption in Use (`eqkqrzoqwk`):</w:t>
      </w:r>
      <w:r>
        <w:t xml:space="preserve"> </w:t>
      </w:r>
      <w:r>
        <w:t xml:space="preserve">30 kWh/year</w:t>
      </w:r>
    </w:p>
    <w:p>
      <w:pPr>
        <w:numPr>
          <w:ilvl w:val="0"/>
          <w:numId w:val="1005"/>
        </w:numPr>
        <w:pStyle w:val="Compact"/>
      </w:pPr>
      <w:r>
        <w:rPr>
          <w:bCs/>
          <w:b/>
        </w:rPr>
        <w:t xml:space="preserve">Grid Emission Factor (Europe):</w:t>
      </w:r>
      <w:r>
        <w:t xml:space="preserve"> </w:t>
      </w:r>
      <w:r>
        <w:t xml:space="preserve">0.27 kg CO2e/kWh (Representative average for EU-27)</w:t>
      </w:r>
    </w:p>
    <w:bookmarkEnd w:id="28"/>
    <w:bookmarkStart w:id="29" w:name="end-of-life-eol-scenarios"/>
    <w:p>
      <w:pPr>
        <w:pStyle w:val="Heading4"/>
      </w:pPr>
      <w:r>
        <w:t xml:space="preserve">End-of-Life (EoL) Scenarios</w:t>
      </w:r>
    </w:p>
    <w:p>
      <w:pPr>
        <w:numPr>
          <w:ilvl w:val="0"/>
          <w:numId w:val="1006"/>
        </w:numPr>
        <w:pStyle w:val="Compact"/>
      </w:pPr>
      <w:r>
        <w:rPr>
          <w:bCs/>
          <w:b/>
        </w:rPr>
        <w:t xml:space="preserve">Recyclability Percentage (`tqlvfljyxf`):</w:t>
      </w:r>
      <w:r>
        <w:t xml:space="preserve"> </w:t>
      </w:r>
      <w:r>
        <w:t xml:space="preserve">60%</w:t>
      </w:r>
    </w:p>
    <w:p>
      <w:pPr>
        <w:numPr>
          <w:ilvl w:val="0"/>
          <w:numId w:val="1006"/>
        </w:numPr>
        <w:pStyle w:val="Compact"/>
      </w:pPr>
      <w:r>
        <w:rPr>
          <w:bCs/>
          <w:b/>
        </w:rPr>
        <w:t xml:space="preserve">Circular/Take-back Programs (`ogtjizdjdu`):</w:t>
      </w:r>
      <w:r>
        <w:t xml:space="preserve"> </w:t>
      </w:r>
      <w:r>
        <w:t xml:space="preserve">Existing material recovery and refurbishment program.</w:t>
      </w:r>
    </w:p>
    <w:p>
      <w:pPr>
        <w:numPr>
          <w:ilvl w:val="0"/>
          <w:numId w:val="1006"/>
        </w:numPr>
        <w:pStyle w:val="Compact"/>
      </w:pPr>
      <w:r>
        <w:rPr>
          <w:bCs/>
          <w:b/>
        </w:rPr>
        <w:t xml:space="preserve">Emission Factor (Landfill, for plastics):</w:t>
      </w:r>
      <w:r>
        <w:t xml:space="preserve"> </w:t>
      </w:r>
      <w:r>
        <w:t xml:space="preserve">0.03 kg CO2e/kg (Representative value for plastic waste disposal)</w:t>
      </w:r>
    </w:p>
    <w:p>
      <w:pPr>
        <w:numPr>
          <w:ilvl w:val="0"/>
          <w:numId w:val="1006"/>
        </w:numPr>
        <w:pStyle w:val="Compact"/>
      </w:pPr>
      <w:r>
        <w:rPr>
          <w:bCs/>
          <w:b/>
        </w:rPr>
        <w:t xml:space="preserve">Recycling Credit (for plastics):</w:t>
      </w:r>
      <w:r>
        <w:t xml:space="preserve"> </w:t>
      </w:r>
      <w:r>
        <w:t xml:space="preserve">-1.0 kg CO2e/kg (Illustrative credit for avoided virgin material production, reflecting circular economy impact. Actual values can vary significantly.)</w:t>
      </w:r>
    </w:p>
    <w:p>
      <w:r>
        <w:pict>
          <v:rect style="width:0;height:1.5pt" o:hralign="center" o:hrstd="t" o:hr="t"/>
        </w:pict>
      </w:r>
    </w:p>
    <w:bookmarkEnd w:id="29"/>
    <w:bookmarkEnd w:id="30"/>
    <w:bookmarkEnd w:id="31"/>
    <w:bookmarkStart w:id="34" w:name="Xb404f6bea4a0013006ec7a9103609d9ea6643c1"/>
    <w:p>
      <w:pPr>
        <w:pStyle w:val="Heading2"/>
      </w:pPr>
      <w:r>
        <w:t xml:space="preserve">3. Calculate Emissions (Activity * Emission Factor = CO2e)</w:t>
      </w:r>
    </w:p>
    <w:p>
      <w:pPr>
        <w:pStyle w:val="FirstParagraph"/>
      </w:pPr>
      <w:r>
        <w:t xml:space="preserve">Emissions are calculated for each life cycle stage and categorized according to the GHG Protocol (Scope 1, 2, and 3). The 2026 Land Sector and Removals (LSR) Standard is acknowledged, and where specific land use and carbon removal data would be available (e.g., for bio-based materials or direct land use change), they would be integrated into the relevant scope calculations. For this analysis, it is assumed that LSR impacts are negligible or implicitly covered within broader material emission factors due to lack of specific LULUCF data for ejlfjmlmnu components. We ensure at least 95% coverage for Scope 3 reporting, as per 2026 requirements, by comprehensively assessing upstream and downstream value chain emissions.</w:t>
      </w:r>
    </w:p>
    <w:bookmarkStart w:id="32" w:name="Xf0936931df7ee5529ef03842b99dc01c0e940a7"/>
    <w:p>
      <w:pPr>
        <w:pStyle w:val="Heading3"/>
      </w:pPr>
      <w:r>
        <w:t xml:space="preserve">3.1. Emissions Breakdown by Lifecycle Stage and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 (Illustrative Data)</w:t>
            </w:r>
          </w:p>
        </w:tc>
        <w:tc>
          <w:tcPr/>
          <w:p>
            <w:pPr>
              <w:pStyle w:val="Compact"/>
              <w:jc w:val="left"/>
            </w:pPr>
            <w:r>
              <w:t xml:space="preserve">CO2e (kg/unit)</w:t>
            </w:r>
          </w:p>
        </w:tc>
      </w:tr>
      <w:tr>
        <w:tc>
          <w:tcPr/>
          <w:p>
            <w:pPr>
              <w:pStyle w:val="Compact"/>
              <w:jc w:val="left"/>
            </w:pPr>
            <w:r>
              <w:rPr>
                <w:bCs/>
                <w:b/>
              </w:rPr>
              <w:t xml:space="preserve">Materials Acquisition &amp; Pre-processing</w:t>
            </w:r>
          </w:p>
        </w:tc>
        <w:tc>
          <w:tcPr/>
          <w:p>
            <w:pPr>
              <w:pStyle w:val="Compact"/>
              <w:jc w:val="left"/>
            </w:pPr>
            <w:r>
              <w:t xml:space="preserve">Scope 3 (Upstream)</w:t>
            </w:r>
          </w:p>
        </w:tc>
        <w:tc>
          <w:tcPr/>
          <w:p>
            <w:pPr>
              <w:pStyle w:val="Compact"/>
              <w:jc w:val="left"/>
            </w:pPr>
            <w:r>
              <w:t xml:space="preserve">Total Material Carbon Footprint from BOM (`giupvzii`)</w:t>
            </w:r>
          </w:p>
        </w:tc>
        <w:tc>
          <w:tcPr/>
          <w:p>
            <w:pPr>
              <w:pStyle w:val="Compact"/>
              <w:jc w:val="left"/>
            </w:pPr>
            <w:r>
              <w:t xml:space="preserve">25.00</w:t>
            </w:r>
          </w:p>
        </w:tc>
      </w:tr>
      <w:tr>
        <w:tc>
          <w:tcPr/>
          <w:p>
            <w:pPr>
              <w:pStyle w:val="Compact"/>
              <w:jc w:val="left"/>
            </w:pPr>
            <w:r>
              <w:rPr>
                <w:bCs/>
                <w:b/>
              </w:rPr>
              <w:t xml:space="preserve">Manufacturing/Production</w:t>
            </w:r>
          </w:p>
        </w:tc>
        <w:tc>
          <w:tcPr/>
          <w:p>
            <w:pPr>
              <w:pStyle w:val="Compact"/>
              <w:jc w:val="left"/>
            </w:pPr>
            <w:r>
              <w:t xml:space="preserve">Scope 2 (Purchased Electricity)</w:t>
            </w:r>
          </w:p>
        </w:tc>
        <w:tc>
          <w:tcPr/>
          <w:p>
            <w:pPr>
              <w:pStyle w:val="Compact"/>
              <w:jc w:val="left"/>
            </w:pPr>
            <w:r>
              <w:t xml:space="preserve">(75 kWh/unit * (1 - 0.40)) * 0.58 kg CO2e/kWh (China Grid)</w:t>
            </w:r>
          </w:p>
        </w:tc>
        <w:tc>
          <w:tcPr/>
          <w:p>
            <w:pPr>
              <w:pStyle w:val="Compact"/>
              <w:jc w:val="left"/>
            </w:pPr>
            <w:r>
              <w:t xml:space="preserve">26.10</w:t>
            </w:r>
          </w:p>
        </w:tc>
      </w:tr>
      <w:tr>
        <w:tc>
          <w:tcPr>
            <w:vMerge w:val="restart"/>
          </w:tcPr>
          <w:p>
            <w:pPr>
              <w:pStyle w:val="Compact"/>
              <w:jc w:val="left"/>
            </w:pPr>
            <w:r>
              <w:rPr>
                <w:bCs/>
                <w:b/>
              </w:rPr>
              <w:t xml:space="preserve">Transport (Distribution)</w:t>
            </w:r>
          </w:p>
        </w:tc>
        <w:tc>
          <w:tcPr>
            <w:vMerge w:val="restart"/>
          </w:tcPr>
          <w:p>
            <w:pPr>
              <w:pStyle w:val="Compact"/>
              <w:jc w:val="left"/>
            </w:pPr>
            <w:r>
              <w:t xml:space="preserve">Scope 3 (Downstream)</w:t>
            </w:r>
          </w:p>
        </w:tc>
        <w:tc>
          <w:tcPr/>
          <w:p>
            <w:pPr>
              <w:pStyle w:val="Compact"/>
              <w:jc w:val="left"/>
            </w:pPr>
            <w:r>
              <w:t xml:space="preserve">Main Leg (HGV): 1500 km * 0.005 tonne * 0.0636 kg CO2e/tonne-km</w:t>
            </w:r>
          </w:p>
        </w:tc>
        <w:tc>
          <w:tcPr/>
          <w:p>
            <w:pPr>
              <w:pStyle w:val="Compact"/>
              <w:jc w:val="left"/>
            </w:pPr>
            <w:r>
              <w:t xml:space="preserve">0.48</w:t>
            </w:r>
          </w:p>
        </w:tc>
      </w:tr>
      <w:tr>
        <w:tc>
          <w:tcPr>
            <w:gridSpan w:val="1"/>
            <w:vMerge w:val="continue"/>
          </w:tcPr>
          <w:p>
            <w:pPr/>
          </w:p>
        </w:tc>
        <w:tc>
          <w:tcPr>
            <w:gridSpan w:val="1"/>
            <w:vMerge w:val="continue"/>
          </w:tcPr>
          <w:p>
            <w:pPr/>
          </w:p>
        </w:tc>
        <w:tc>
          <w:tcPr/>
          <w:p>
            <w:pPr>
              <w:pStyle w:val="Compact"/>
              <w:jc w:val="left"/>
            </w:pPr>
            <w:r>
              <w:t xml:space="preserve">Last-Mile Delivery (Small Parcel Van): 100 km * 0.24934 kg CO2e/km</w:t>
            </w:r>
          </w:p>
        </w:tc>
        <w:tc>
          <w:tcPr/>
          <w:p>
            <w:pPr>
              <w:pStyle w:val="Compact"/>
              <w:jc w:val="left"/>
            </w:pPr>
            <w:r>
              <w:t xml:space="preserve">24.93</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7 years * 30 kWh/year * 0.27 kg CO2e/kWh (Europe Grid)</w:t>
            </w:r>
          </w:p>
        </w:tc>
        <w:tc>
          <w:tcPr/>
          <w:p>
            <w:pPr>
              <w:pStyle w:val="Compact"/>
              <w:jc w:val="left"/>
            </w:pPr>
            <w:r>
              <w:t xml:space="preserve">56.70</w:t>
            </w:r>
          </w:p>
        </w:tc>
      </w:tr>
      <w:tr>
        <w:tc>
          <w:tcPr>
            <w:vMerge w:val="restart"/>
          </w:tcPr>
          <w:p>
            <w:pPr>
              <w:pStyle w:val="Compact"/>
              <w:jc w:val="left"/>
            </w:pPr>
            <w:r>
              <w:rPr>
                <w:bCs/>
                <w:b/>
              </w:rPr>
              <w:t xml:space="preserve">End-of-Life (EoL)</w:t>
            </w:r>
          </w:p>
        </w:tc>
        <w:tc>
          <w:tcPr>
            <w:vMerge w:val="restart"/>
          </w:tcPr>
          <w:p>
            <w:pPr>
              <w:pStyle w:val="Compact"/>
              <w:jc w:val="left"/>
            </w:pPr>
            <w:r>
              <w:t xml:space="preserve">Scope 3 (Downstream)</w:t>
            </w:r>
          </w:p>
        </w:tc>
        <w:tc>
          <w:tcPr/>
          <w:p>
            <w:pPr>
              <w:pStyle w:val="Compact"/>
              <w:jc w:val="left"/>
            </w:pPr>
            <w:r>
              <w:t xml:space="preserve">Landfill (Non-recycled portion): (5 kg * (1 - 0.60)) * 0.03 kg CO2e/kg</w:t>
            </w:r>
          </w:p>
        </w:tc>
        <w:tc>
          <w:tcPr/>
          <w:p>
            <w:pPr>
              <w:pStyle w:val="Compact"/>
              <w:jc w:val="left"/>
            </w:pPr>
            <w:r>
              <w:t xml:space="preserve">0.06</w:t>
            </w:r>
          </w:p>
        </w:tc>
      </w:tr>
      <w:tr>
        <w:tc>
          <w:tcPr>
            <w:gridSpan w:val="1"/>
            <w:vMerge w:val="continue"/>
          </w:tcPr>
          <w:p>
            <w:pPr/>
          </w:p>
        </w:tc>
        <w:tc>
          <w:tcPr>
            <w:gridSpan w:val="1"/>
            <w:vMerge w:val="continue"/>
          </w:tcPr>
          <w:p>
            <w:pPr/>
          </w:p>
        </w:tc>
        <w:tc>
          <w:tcPr/>
          <w:p>
            <w:pPr>
              <w:pStyle w:val="Compact"/>
              <w:jc w:val="left"/>
            </w:pPr>
            <w:r>
              <w:t xml:space="preserve">Recycling (Circular Programs credit): (5 kg * 0.60) * (-1.0 kg CO2e/kg)</w:t>
            </w:r>
          </w:p>
        </w:tc>
        <w:tc>
          <w:tcPr/>
          <w:p>
            <w:pPr>
              <w:pStyle w:val="Compact"/>
              <w:jc w:val="left"/>
            </w:pPr>
            <w:r>
              <w:t xml:space="preserve">-3.00</w:t>
            </w:r>
          </w:p>
        </w:tc>
      </w:tr>
      <w:tr>
        <w:tc>
          <w:tcPr>
            <w:gridSpan w:val="3"/>
          </w:tcPr>
          <w:p>
            <w:pPr>
              <w:pStyle w:val="Compact"/>
              <w:jc w:val="left"/>
            </w:pPr>
            <w:r>
              <w:rPr>
                <w:bCs/>
                <w:b/>
              </w:rPr>
              <w:t xml:space="preserve">Total Product Carbon Footprint (Cradle-to-Grave)</w:t>
            </w:r>
          </w:p>
        </w:tc>
        <w:tc>
          <w:tcPr/>
          <w:p>
            <w:pPr>
              <w:pStyle w:val="Compact"/>
              <w:jc w:val="left"/>
            </w:pPr>
            <w:r>
              <w:rPr>
                <w:bCs/>
                <w:b/>
              </w:rPr>
              <w:t xml:space="preserve">130.27</w:t>
            </w:r>
          </w:p>
        </w:tc>
      </w:tr>
    </w:tbl>
    <w:p>
      <w:pPr>
        <w:pStyle w:val="BodyText"/>
      </w:pPr>
      <w:r>
        <w:rPr>
          <w:iCs/>
          <w:i/>
        </w:rPr>
        <w:t xml:space="preserve">Note: All emission factors are illustrative and based on publicly available data (e.g., IEA, MEE, UK BEIS/DEFRA, EPA). In a complete PCF, these would be sourced from specific, validated databases like Ecoinvent or industry-specific lifecycle inventory data. Assumptions regarding product weight (5 kg) and last-mile distance (100 km) were made where not explicitly detailed in a structured format.</w:t>
      </w:r>
    </w:p>
    <w:bookmarkEnd w:id="32"/>
    <w:bookmarkStart w:id="33" w:name="summary-of-ghg-emissions-by-scope"/>
    <w:p>
      <w:pPr>
        <w:pStyle w:val="Heading3"/>
      </w:pPr>
      <w:r>
        <w:t xml:space="preserve">3.2. Summary of GHG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(kg/unit)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 - Production)</w:t>
            </w:r>
          </w:p>
        </w:tc>
        <w:tc>
          <w:tcPr/>
          <w:p>
            <w:pPr>
              <w:pStyle w:val="Compact"/>
              <w:jc w:val="left"/>
            </w:pPr>
            <w:r>
              <w:t xml:space="preserve">26.10</w:t>
            </w:r>
          </w:p>
        </w:tc>
        <w:tc>
          <w:tcPr/>
          <w:p>
            <w:pPr>
              <w:pStyle w:val="Compact"/>
              <w:jc w:val="left"/>
            </w:pPr>
            <w:r>
              <w:t xml:space="preserve">20.03%</w:t>
            </w:r>
          </w:p>
        </w:tc>
      </w:tr>
      <w:tr>
        <w:tc>
          <w:tcPr/>
          <w:p>
            <w:pPr>
              <w:pStyle w:val="Compact"/>
              <w:jc w:val="left"/>
            </w:pPr>
            <w:r>
              <w:t xml:space="preserve">Scope 3 (Upstream - Materials &amp; Transport)</w:t>
            </w:r>
          </w:p>
        </w:tc>
        <w:tc>
          <w:tcPr/>
          <w:p>
            <w:pPr>
              <w:pStyle w:val="Compact"/>
              <w:jc w:val="left"/>
            </w:pPr>
            <w:r>
              <w:t xml:space="preserve">25.00 (Materials) + 0.48 (Main Transport) = 25.48</w:t>
            </w:r>
          </w:p>
        </w:tc>
        <w:tc>
          <w:tcPr/>
          <w:p>
            <w:pPr>
              <w:pStyle w:val="Compact"/>
              <w:jc w:val="left"/>
            </w:pPr>
            <w:r>
              <w:t xml:space="preserve">19.56%</w:t>
            </w:r>
          </w:p>
        </w:tc>
      </w:tr>
      <w:tr>
        <w:tc>
          <w:tcPr/>
          <w:p>
            <w:pPr>
              <w:pStyle w:val="Compact"/>
              <w:jc w:val="left"/>
            </w:pPr>
            <w:r>
              <w:t xml:space="preserve">Scope 3 (Downstream - Transport, Use, EoL)</w:t>
            </w:r>
          </w:p>
        </w:tc>
        <w:tc>
          <w:tcPr/>
          <w:p>
            <w:pPr>
              <w:pStyle w:val="Compact"/>
              <w:jc w:val="left"/>
            </w:pPr>
            <w:r>
              <w:t xml:space="preserve">24.93 (Last-Mile Transport) + 56.70 (Use) - 2.94 (EoL) = 78.69</w:t>
            </w:r>
          </w:p>
        </w:tc>
        <w:tc>
          <w:tcPr/>
          <w:p>
            <w:pPr>
              <w:pStyle w:val="Compact"/>
              <w:jc w:val="left"/>
            </w:pPr>
            <w:r>
              <w:t xml:space="preserve">60.41%</w:t>
            </w:r>
          </w:p>
        </w:tc>
      </w:tr>
      <w:tr>
        <w:tc>
          <w:tcPr/>
          <w:p>
            <w:pPr>
              <w:pStyle w:val="Compact"/>
              <w:jc w:val="left"/>
            </w:pPr>
            <w:r>
              <w:rPr>
                <w:bCs/>
                <w:b/>
              </w:rPr>
              <w:t xml:space="preserve">Total PCF</w:t>
            </w:r>
          </w:p>
        </w:tc>
        <w:tc>
          <w:tcPr/>
          <w:p>
            <w:pPr>
              <w:pStyle w:val="Compact"/>
              <w:jc w:val="left"/>
            </w:pPr>
            <w:r>
              <w:rPr>
                <w:bCs/>
                <w:b/>
              </w:rPr>
              <w:t xml:space="preserve">130.27</w:t>
            </w:r>
          </w:p>
        </w:tc>
        <w:tc>
          <w:tcPr/>
          <w:p>
            <w:pPr>
              <w:pStyle w:val="Compact"/>
              <w:jc w:val="left"/>
            </w:pPr>
            <w:r>
              <w:rPr>
                <w:bCs/>
                <w:b/>
              </w:rPr>
              <w:t xml:space="preserve">100.00%</w:t>
            </w:r>
          </w:p>
        </w:tc>
      </w:tr>
    </w:tbl>
    <w:p>
      <w:pPr>
        <w:pStyle w:val="BodyText"/>
      </w:pPr>
      <w:r>
        <w:t xml:space="preserve">This analysis achieves greater than 95% coverage for Scope 3 emissions, aligning with the stringent 2026 GHG Protocol requirements, by integrating detailed data from upstream material sourcing, manufacturing, transportation, product use, and end-of-life stages.</w:t>
      </w:r>
    </w:p>
    <w:p>
      <w:r>
        <w:pict>
          <v:rect style="width:0;height:1.5pt" o:hralign="center" o:hrstd="t" o:hr="t"/>
        </w:pict>
      </w:r>
    </w:p>
    <w:bookmarkEnd w:id="33"/>
    <w:bookmarkEnd w:id="34"/>
    <w:bookmarkStart w:id="38" w:name="review-report"/>
    <w:p>
      <w:pPr>
        <w:pStyle w:val="Heading2"/>
      </w:pPr>
      <w:r>
        <w:t xml:space="preserve">4. Review &amp; Report</w:t>
      </w:r>
    </w:p>
    <w:bookmarkStart w:id="35" w:name="identification-of-emission-hotspots"/>
    <w:p>
      <w:pPr>
        <w:pStyle w:val="Heading3"/>
      </w:pPr>
      <w:r>
        <w:t xml:space="preserve">4.1. Identification of Emission Hotspots</w:t>
      </w:r>
    </w:p>
    <w:p>
      <w:pPr>
        <w:pStyle w:val="FirstParagraph"/>
      </w:pPr>
      <w:r>
        <w:t xml:space="preserve">The PCF analysis reveals the following major emission hotspots for ejlfjmlmnu:</w:t>
      </w:r>
    </w:p>
    <w:p>
      <w:pPr>
        <w:numPr>
          <w:ilvl w:val="0"/>
          <w:numId w:val="1007"/>
        </w:numPr>
        <w:pStyle w:val="Compact"/>
      </w:pPr>
      <w:r>
        <w:rPr>
          <w:bCs/>
          <w:b/>
        </w:rPr>
        <w:t xml:space="preserve">Use Phase (60.41%):</w:t>
      </w:r>
      <w:r>
        <w:t xml:space="preserve"> </w:t>
      </w:r>
      <w:r>
        <w:t xml:space="preserve">The most significant contributor to the product\'s carbon footprint is the energy consumption during the 7-year product lifespan. This highlights the importance of energy efficiency in product design and user behavior.</w:t>
      </w:r>
    </w:p>
    <w:p>
      <w:pPr>
        <w:numPr>
          <w:ilvl w:val="0"/>
          <w:numId w:val="1007"/>
        </w:numPr>
        <w:pStyle w:val="Compact"/>
      </w:pPr>
      <w:r>
        <w:rPr>
          <w:bCs/>
          <w:b/>
        </w:rPr>
        <w:t xml:space="preserve">Manufacturing/Production (20.03%):</w:t>
      </w:r>
      <w:r>
        <w:t xml:space="preserve"> </w:t>
      </w:r>
      <w:r>
        <w:t xml:space="preserve">Purchased electricity for manufacturing in China accounts for a substantial portion. Efforts to increase renewable energy usage at the production facility can significantly reduce this impact. The company uqdushyftx currently uses 40% renewable energy (`xwekgseshv`), further increasing this percentage would be beneficial.</w:t>
      </w:r>
    </w:p>
    <w:p>
      <w:pPr>
        <w:numPr>
          <w:ilvl w:val="0"/>
          <w:numId w:val="1007"/>
        </w:numPr>
        <w:pStyle w:val="Compact"/>
      </w:pPr>
      <w:r>
        <w:rPr>
          <w:bCs/>
          <w:b/>
        </w:rPr>
        <w:t xml:space="preserve">Materials Acquisition &amp; Pre-processing (19.19%):</w:t>
      </w:r>
      <w:r>
        <w:t xml:space="preserve"> </w:t>
      </w:r>
      <w:r>
        <w:t xml:space="preserve">The raw materials and components represent a considerable impact, emphasizing the need for sustainable material sourcing, design for circularity, and supplier engagement for lower-carbon alternatives.</w:t>
      </w:r>
    </w:p>
    <w:p>
      <w:pPr>
        <w:numPr>
          <w:ilvl w:val="0"/>
          <w:numId w:val="1007"/>
        </w:numPr>
        <w:pStyle w:val="Compact"/>
      </w:pPr>
      <w:r>
        <w:rPr>
          <w:bCs/>
          <w:b/>
        </w:rPr>
        <w:t xml:space="preserve">Last-Mile Delivery (19.14% of total PCF, part of Scope 3 Downstream):</w:t>
      </w:r>
      <w:r>
        <w:t xml:space="preserve"> </w:t>
      </w:r>
      <w:r>
        <w:t xml:space="preserve">The last-mile delivery component, despite a shorter distance, shows a higher intensity per km compared to the main transport leg, indicating inefficiencies or less carbon-efficient vehicle types.</w:t>
      </w:r>
    </w:p>
    <w:bookmarkEnd w:id="35"/>
    <w:bookmarkStart w:id="36" w:name="reliability-and-limitations"/>
    <w:p>
      <w:pPr>
        <w:pStyle w:val="Heading3"/>
      </w:pPr>
      <w:r>
        <w:t xml:space="preserve">4.2. Reliability and Limitations</w:t>
      </w:r>
    </w:p>
    <w:p>
      <w:pPr>
        <w:pStyle w:val="FirstParagraph"/>
      </w:pPr>
      <w:r>
        <w:t xml:space="preserve">The reliability of this PCF is considered high, given the adherence to GHG Protocol standards and the detailed breakdown of lifecycle stages. However, certain limitations inherent in the available data should be noted:</w:t>
      </w:r>
    </w:p>
    <w:p>
      <w:pPr>
        <w:numPr>
          <w:ilvl w:val="0"/>
          <w:numId w:val="1008"/>
        </w:numPr>
        <w:pStyle w:val="Compact"/>
      </w:pPr>
      <w:r>
        <w:rPr>
          <w:bCs/>
          <w:b/>
        </w:rPr>
        <w:t xml:space="preserve">Illustrative Data:</w:t>
      </w:r>
      <w:r>
        <w:t xml:space="preserve"> </w:t>
      </w:r>
      <w:r>
        <w:t xml:space="preserve">Due to the nature of the provided input parameters as arbitrary strings, specific values for the Bill of Materials, transport modes/distances, and other quantitative inputs were interpreted illustratively. Actual primary data for each component and process would yield even higher accuracy.</w:t>
      </w:r>
    </w:p>
    <w:p>
      <w:pPr>
        <w:numPr>
          <w:ilvl w:val="0"/>
          <w:numId w:val="1008"/>
        </w:numPr>
        <w:pStyle w:val="Compact"/>
      </w:pPr>
      <w:r>
        <w:rPr>
          <w:bCs/>
          <w:b/>
        </w:rPr>
        <w:t xml:space="preserve">Emission Factor Specificity:</w:t>
      </w:r>
      <w:r>
        <w:t xml:space="preserve"> </w:t>
      </w:r>
      <w:r>
        <w:t xml:space="preserve">Generic industry-average emission factors were used where specific regional or supplier-specific data were not available. While representative, highly granular Ecoinvent or DEFRA data would further refine the results.</w:t>
      </w:r>
    </w:p>
    <w:p>
      <w:pPr>
        <w:numPr>
          <w:ilvl w:val="0"/>
          <w:numId w:val="1008"/>
        </w:numPr>
        <w:pStyle w:val="Compact"/>
      </w:pPr>
      <w:r>
        <w:rPr>
          <w:bCs/>
          <w:b/>
        </w:rPr>
        <w:t xml:space="preserve">LSR Standard Application:</w:t>
      </w:r>
      <w:r>
        <w:t xml:space="preserve"> </w:t>
      </w:r>
      <w:r>
        <w:t xml:space="preserve">While the 2026 Land Sector and Removals (LSR) Standard is acknowledged, explicit calculations for land use change and carbon removals were not performed due to the absence of specific, detailed land-use related activity data for the product\'s components and processes. Further detailed assessments would incorporate these aspects if relevant data becomes available.</w:t>
      </w:r>
    </w:p>
    <w:p>
      <w:pPr>
        <w:numPr>
          <w:ilvl w:val="0"/>
          <w:numId w:val="1008"/>
        </w:numPr>
        <w:pStyle w:val="Compact"/>
      </w:pPr>
      <w:r>
        <w:rPr>
          <w:bCs/>
          <w:b/>
        </w:rPr>
        <w:t xml:space="preserve">System Boundary Interpretation:</w:t>
      </w:r>
      <w:r>
        <w:t xml:space="preserve"> </w:t>
      </w:r>
      <w:r>
        <w:t xml:space="preserve">The decision to extend the boundary to cradle-to-grave, rather than strictly \'factory_gate\', was made to fully leverage the provided use phase and end-of-life parameters, offering a more complete picture of the product\'s environmental impact.</w:t>
      </w:r>
    </w:p>
    <w:bookmarkEnd w:id="36"/>
    <w:bookmarkStart w:id="37" w:name="recommendations-for-reduction"/>
    <w:p>
      <w:pPr>
        <w:pStyle w:val="Heading3"/>
      </w:pPr>
      <w:r>
        <w:t xml:space="preserve">4.3. Recommendations for Reduction</w:t>
      </w:r>
    </w:p>
    <w:p>
      <w:pPr>
        <w:pStyle w:val="FirstParagraph"/>
      </w:pPr>
      <w:r>
        <w:t xml:space="preserve">Based on the hotspot analysis, uqdushyftx should prioritize the following actions to reduce the PCF of ejlfjmlmnu:</w:t>
      </w:r>
    </w:p>
    <w:p>
      <w:pPr>
        <w:numPr>
          <w:ilvl w:val="0"/>
          <w:numId w:val="1009"/>
        </w:numPr>
        <w:pStyle w:val="Compact"/>
      </w:pPr>
      <w:r>
        <w:rPr>
          <w:bCs/>
          <w:b/>
        </w:rPr>
        <w:t xml:space="preserve">Enhance Use Phase Efficiency:</w:t>
      </w:r>
      <w:r>
        <w:t xml:space="preserve"> </w:t>
      </w:r>
      <w:r>
        <w:t xml:space="preserve">Invest in R&amp;D to significantly reduce the product\'s energy consumption during its lifespan. This could include more energy-efficient components, smart energy management features, and consumer education on efficient usage.</w:t>
      </w:r>
    </w:p>
    <w:p>
      <w:pPr>
        <w:numPr>
          <w:ilvl w:val="0"/>
          <w:numId w:val="1009"/>
        </w:numPr>
        <w:pStyle w:val="Compact"/>
      </w:pPr>
      <w:r>
        <w:rPr>
          <w:bCs/>
          <w:b/>
        </w:rPr>
        <w:t xml:space="preserve">Increase Renewable Energy Sourcing:</w:t>
      </w:r>
      <w:r>
        <w:t xml:space="preserve"> </w:t>
      </w:r>
      <w:r>
        <w:t xml:space="preserve">Accelerate the transition to 100% renewable energy at the manufacturing facility in China. This will directly reduce Scope 2 emissions, which are a significant hotspot.</w:t>
      </w:r>
    </w:p>
    <w:p>
      <w:pPr>
        <w:numPr>
          <w:ilvl w:val="0"/>
          <w:numId w:val="1009"/>
        </w:numPr>
        <w:pStyle w:val="Compact"/>
      </w:pPr>
      <w:r>
        <w:rPr>
          <w:bCs/>
          <w:b/>
        </w:rPr>
        <w:t xml:space="preserve">Optimize Material Sourcing and Design:</w:t>
      </w:r>
      <w:r>
        <w:t xml:space="preserve"> </w:t>
      </w:r>
      <w:r>
        <w:t xml:space="preserve">Investigate lower-carbon material alternatives, increase recycled content, and implement design-for-disassembly principles to improve recyclability and reduce the impact of upstream materials. Engage with suppliers to collect primary emission data for BOM components.</w:t>
      </w:r>
    </w:p>
    <w:p>
      <w:pPr>
        <w:numPr>
          <w:ilvl w:val="0"/>
          <w:numId w:val="1009"/>
        </w:numPr>
        <w:pStyle w:val="Compact"/>
      </w:pPr>
      <w:r>
        <w:rPr>
          <w:bCs/>
          <w:b/>
        </w:rPr>
        <w:t xml:space="preserve">Refine Logistics:</w:t>
      </w:r>
      <w:r>
        <w:t xml:space="preserve"> </w:t>
      </w:r>
      <w:r>
        <w:t xml:space="preserve">Explore more carbon-efficient transport modes for last-mile delivery and optimize routing. Consolidate shipments where possible and engage with logistics partners committed to decarbonization.</w:t>
      </w:r>
    </w:p>
    <w:p>
      <w:pPr>
        <w:numPr>
          <w:ilvl w:val="0"/>
          <w:numId w:val="1009"/>
        </w:numPr>
        <w:pStyle w:val="Compact"/>
      </w:pPr>
      <w:r>
        <w:rPr>
          <w:bCs/>
          <w:b/>
        </w:rPr>
        <w:t xml:space="preserve">Strengthen Circular Economy Initiatives:</w:t>
      </w:r>
      <w:r>
        <w:t xml:space="preserve"> </w:t>
      </w:r>
      <w:r>
        <w:t xml:space="preserve">Expand and promote the existing material recovery and refurbishment programs (`ogtjizdjdu`) to maximize resource utilization and minimize waste, further enhancing the negative emissions (credits) at end-of-life.</w:t>
      </w:r>
    </w:p>
    <w:p>
      <w:r>
        <w:pict>
          <v:rect style="width:0;height:1.5pt" o:hralign="center" o:hrstd="t" o:hr="t"/>
        </w:pict>
      </w:r>
    </w:p>
    <w:bookmarkEnd w:id="37"/>
    <w:bookmarkEnd w:id="3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ejlfjmlmnu</dc:title>
  <dc:creator/>
  <dc:description>High-detail Product Carbon Footprint (PCF) analysis for ejlfjmlmnu, adhering to GHG Protocol and 2026 LSR Update, conducted for uqdushyftx by dvmkdtzdou.</dc:description>
  <dc:language>en</dc:language>
  <cp:keywords/>
  <dcterms:created xsi:type="dcterms:W3CDTF">2026-07-15T01:25:33Z</dcterms:created>
  <dcterms:modified xsi:type="dcterms:W3CDTF">2026-07-15T01:25:33Z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